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bookmarkStart w:id="0" w:name="SectionMark0"/>
      <w:r>
        <w:rPr>
          <w:sz w:val="21"/>
        </w:rPr>
        <mc:AlternateContent>
          <mc:Choice Requires="wps">
            <w:drawing>
              <wp:anchor distT="0" distB="0" distL="114300" distR="114300" simplePos="0" relativeHeight="251671552" behindDoc="0" locked="0" layoutInCell="1" allowOverlap="1">
                <wp:simplePos x="0" y="0"/>
                <wp:positionH relativeFrom="column">
                  <wp:posOffset>-491490</wp:posOffset>
                </wp:positionH>
                <wp:positionV relativeFrom="paragraph">
                  <wp:posOffset>-594360</wp:posOffset>
                </wp:positionV>
                <wp:extent cx="1047750" cy="561975"/>
                <wp:effectExtent l="0" t="0" r="0" b="9525"/>
                <wp:wrapNone/>
                <wp:docPr id="13" name="文本框 13"/>
                <wp:cNvGraphicFramePr/>
                <a:graphic xmlns:a="http://schemas.openxmlformats.org/drawingml/2006/main">
                  <a:graphicData uri="http://schemas.microsoft.com/office/word/2010/wordprocessingShape">
                    <wps:wsp>
                      <wps:cNvSpPr txBox="1"/>
                      <wps:spPr>
                        <a:xfrm>
                          <a:off x="408940" y="306070"/>
                          <a:ext cx="1047750" cy="56197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pPr>
                              <w:rPr>
                                <w:rFonts w:hint="eastAsia" w:ascii="黑体" w:hAnsi="黑体" w:eastAsia="黑体" w:cs="黑体"/>
                                <w:sz w:val="28"/>
                                <w:szCs w:val="28"/>
                                <w:lang w:eastAsia="zh-CN"/>
                              </w:rPr>
                            </w:pPr>
                            <w:r>
                              <w:rPr>
                                <w:rFonts w:hint="eastAsia" w:ascii="黑体" w:hAnsi="黑体" w:eastAsia="黑体" w:cs="黑体"/>
                                <w:sz w:val="28"/>
                                <w:szCs w:val="28"/>
                                <w:lang w:eastAsia="zh-CN"/>
                              </w:rPr>
                              <w:t>附件</w:t>
                            </w:r>
                            <w:r>
                              <w:rPr>
                                <w:rFonts w:hint="eastAsia" w:ascii="黑体" w:hAnsi="黑体" w:eastAsia="黑体" w:cs="黑体"/>
                                <w:sz w:val="28"/>
                                <w:szCs w:val="28"/>
                                <w:lang w:val="en-US" w:eastAsia="zh-CN"/>
                              </w:rPr>
                              <w:t>1</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8.7pt;margin-top:-46.8pt;height:44.25pt;width:82.5pt;z-index:251671552;mso-width-relative:page;mso-height-relative:page;" fillcolor="#FFFFFF [3201]" filled="t" stroked="f" coordsize="21600,21600" o:gfxdata="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">
                <v:fill on="t" focussize="0,0"/>
                <v:stroke on="f" weight="0.5pt"/>
                <v:imagedata o:title=""/>
                <o:lock v:ext="edit" aspectratio="f"/>
                <v:textbox>
                  <w:txbxContent>
                    <w:p>
                      <w:pPr>
                        <w:rPr>
                          <w:rFonts w:hint="eastAsia" w:ascii="黑体" w:hAnsi="黑体" w:eastAsia="黑体" w:cs="黑体"/>
                          <w:sz w:val="28"/>
                          <w:szCs w:val="28"/>
                          <w:lang w:eastAsia="zh-CN"/>
                        </w:rPr>
                      </w:pPr>
                      <w:r>
                        <w:rPr>
                          <w:rFonts w:hint="eastAsia" w:ascii="黑体" w:hAnsi="黑体" w:eastAsia="黑体" w:cs="黑体"/>
                          <w:sz w:val="28"/>
                          <w:szCs w:val="28"/>
                          <w:lang w:eastAsia="zh-CN"/>
                        </w:rPr>
                        <w:t>附件</w:t>
                      </w:r>
                      <w:r>
                        <w:rPr>
                          <w:rFonts w:hint="eastAsia" w:ascii="黑体" w:hAnsi="黑体" w:eastAsia="黑体" w:cs="黑体"/>
                          <w:sz w:val="28"/>
                          <w:szCs w:val="28"/>
                          <w:lang w:val="en-US" w:eastAsia="zh-CN"/>
                        </w:rPr>
                        <w:t>1</w:t>
                      </w:r>
                    </w:p>
                  </w:txbxContent>
                </v:textbox>
              </v:shape>
            </w:pict>
          </mc:Fallback>
        </mc:AlternateContent>
      </w:r>
      <w:r>
        <mc:AlternateContent>
          <mc:Choice Requires="wps">
            <w:drawing>
              <wp:anchor distT="0" distB="0" distL="114300" distR="114300" simplePos="0" relativeHeight="251668480" behindDoc="0" locked="1" layoutInCell="1" allowOverlap="1">
                <wp:simplePos x="0" y="0"/>
                <wp:positionH relativeFrom="margin">
                  <wp:posOffset>2549525</wp:posOffset>
                </wp:positionH>
                <wp:positionV relativeFrom="margin">
                  <wp:posOffset>107315</wp:posOffset>
                </wp:positionV>
                <wp:extent cx="3175000" cy="720090"/>
                <wp:effectExtent l="0" t="0" r="6350" b="3810"/>
                <wp:wrapNone/>
                <wp:docPr id="12" name="fmFrame8"/>
                <wp:cNvGraphicFramePr/>
                <a:graphic xmlns:a="http://schemas.openxmlformats.org/drawingml/2006/main">
                  <a:graphicData uri="http://schemas.microsoft.com/office/word/2010/wordprocessingShape">
                    <wps:wsp>
                      <wps:cNvSpPr txBox="1">
                        <a:spLocks noChangeArrowheads="1"/>
                      </wps:cNvSpPr>
                      <wps:spPr bwMode="auto">
                        <a:xfrm>
                          <a:off x="0" y="0"/>
                          <a:ext cx="3175000" cy="720090"/>
                        </a:xfrm>
                        <a:prstGeom prst="rect">
                          <a:avLst/>
                        </a:prstGeom>
                        <a:solidFill>
                          <a:srgbClr val="FFFFFF"/>
                        </a:solidFill>
                        <a:ln>
                          <a:noFill/>
                        </a:ln>
                        <a:effectLst/>
                      </wps:spPr>
                      <wps:txbx>
                        <w:txbxContent>
                          <w:p>
                            <w:pPr>
                              <w:pStyle w:val="75"/>
                            </w:pPr>
                            <w:r>
                              <w:t>DB</w:t>
                            </w:r>
                            <w:r>
                              <w:rPr>
                                <w:rFonts w:hint="eastAsia"/>
                              </w:rPr>
                              <w:t>44</w:t>
                            </w:r>
                          </w:p>
                          <w:p>
                            <w:pPr>
                              <w:pStyle w:val="75"/>
                            </w:pPr>
                          </w:p>
                        </w:txbxContent>
                      </wps:txbx>
                      <wps:bodyPr rot="0" vert="horz" wrap="square" lIns="0" tIns="0" rIns="0" bIns="0" anchor="t" anchorCtr="0" upright="1">
                        <a:noAutofit/>
                      </wps:bodyPr>
                    </wps:wsp>
                  </a:graphicData>
                </a:graphic>
              </wp:anchor>
            </w:drawing>
          </mc:Choice>
          <mc:Fallback>
            <w:pict>
              <v:shape id="fmFrame8" o:spid="_x0000_s1026" o:spt="202" type="#_x0000_t202" style="position:absolute;left:0pt;margin-left:200.75pt;margin-top:8.45pt;height:56.7pt;width:250pt;mso-position-horizontal-relative:margin;mso-position-vertical-relative:margin;z-index:251668480;mso-width-relative:page;mso-height-relative:page;" fillcolor="#FFFFFF" filled="t" stroked="f" coordsize="21600,21600" o:gfxdata="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ElZOzzYAAAACgEAAA8AAAAAAAAAAQAgAAAAIgAAAGRycy9kb3ducmV2Lnht&#10;bFBLAQIUABQAAAAIAIdO4kDuUBBA+QEAAOwDAAAOAAAAAAAAAAEAIAAAACcBAABkcnMvZTJvRG9j&#10;LnhtbFBLBQYAAAAABgAGAFkBAACSBQAAAAA=&#10;">
                <v:fill on="t" focussize="0,0"/>
                <v:stroke on="f"/>
                <v:imagedata o:title=""/>
                <o:lock v:ext="edit" aspectratio="f"/>
                <v:textbox inset="0mm,0mm,0mm,0mm">
                  <w:txbxContent>
                    <w:p>
                      <w:pPr>
                        <w:pStyle w:val="75"/>
                      </w:pPr>
                      <w:r>
                        <w:t>DB</w:t>
                      </w:r>
                      <w:r>
                        <w:rPr>
                          <w:rFonts w:hint="eastAsia"/>
                        </w:rPr>
                        <w:t>44</w:t>
                      </w:r>
                    </w:p>
                    <w:p>
                      <w:pPr>
                        <w:pStyle w:val="75"/>
                      </w:pPr>
                    </w:p>
                  </w:txbxContent>
                </v:textbox>
                <w10:anchorlock/>
              </v:shape>
            </w:pict>
          </mc:Fallback>
        </mc:AlternateContent>
      </w:r>
      <w:r>
        <mc:AlternateContent>
          <mc:Choice Requires="wps">
            <w:drawing>
              <wp:anchor distT="0" distB="0" distL="114300" distR="114300" simplePos="0" relativeHeight="251665408" behindDoc="0" locked="0" layoutInCell="1" allowOverlap="1">
                <wp:simplePos x="0" y="0"/>
                <wp:positionH relativeFrom="column">
                  <wp:posOffset>0</wp:posOffset>
                </wp:positionH>
                <wp:positionV relativeFrom="paragraph">
                  <wp:posOffset>2273300</wp:posOffset>
                </wp:positionV>
                <wp:extent cx="6121400" cy="635"/>
                <wp:effectExtent l="0" t="0" r="0" b="0"/>
                <wp:wrapNone/>
                <wp:docPr id="11" name="Line 3"/>
                <wp:cNvGraphicFramePr/>
                <a:graphic xmlns:a="http://schemas.openxmlformats.org/drawingml/2006/main">
                  <a:graphicData uri="http://schemas.microsoft.com/office/word/2010/wordprocessingShape">
                    <wps:wsp>
                      <wps:cNvCnPr>
                        <a:cxnSpLocks noChangeShapeType="1"/>
                      </wps:cNvCnPr>
                      <wps:spPr bwMode="auto">
                        <a:xfrm>
                          <a:off x="0" y="0"/>
                          <a:ext cx="6121400" cy="635"/>
                        </a:xfrm>
                        <a:prstGeom prst="line">
                          <a:avLst/>
                        </a:prstGeom>
                        <a:noFill/>
                        <a:ln w="9525">
                          <a:solidFill>
                            <a:srgbClr val="800008"/>
                          </a:solidFill>
                          <a:round/>
                        </a:ln>
                        <a:effectLst/>
                      </wps:spPr>
                      <wps:bodyPr/>
                    </wps:wsp>
                  </a:graphicData>
                </a:graphic>
              </wp:anchor>
            </w:drawing>
          </mc:Choice>
          <mc:Fallback>
            <w:pict>
              <v:line id="Line 3" o:spid="_x0000_s1026" o:spt="20" style="position:absolute;left:0pt;margin-left:0pt;margin-top:179pt;height:0.05pt;width:482pt;z-index:251665408;mso-width-relative:page;mso-height-relative:page;" filled="f" stroked="t" coordsize="21600,21600" o:gfxdata="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">
                <v:fill on="f" focussize="0,0"/>
                <v:stroke color="#800008" joinstyle="round"/>
                <v:imagedata o:title=""/>
                <o:lock v:ext="edit" aspectratio="f"/>
              </v:line>
            </w:pict>
          </mc:Fallback>
        </mc:AlternateContent>
      </w:r>
      <w:r>
        <mc:AlternateContent>
          <mc:Choice Requires="wps">
            <w:drawing>
              <wp:anchor distT="0" distB="0" distL="114300" distR="114300" simplePos="0" relativeHeight="251664384" behindDoc="0" locked="1" layoutInCell="1" allowOverlap="1">
                <wp:simplePos x="0" y="0"/>
                <wp:positionH relativeFrom="margin">
                  <wp:posOffset>-313690</wp:posOffset>
                </wp:positionH>
                <wp:positionV relativeFrom="margin">
                  <wp:posOffset>8053705</wp:posOffset>
                </wp:positionV>
                <wp:extent cx="6134100" cy="594360"/>
                <wp:effectExtent l="0" t="0" r="0" b="15240"/>
                <wp:wrapNone/>
                <wp:docPr id="10" name="fmFrame7"/>
                <wp:cNvGraphicFramePr/>
                <a:graphic xmlns:a="http://schemas.openxmlformats.org/drawingml/2006/main">
                  <a:graphicData uri="http://schemas.microsoft.com/office/word/2010/wordprocessingShape">
                    <wps:wsp>
                      <wps:cNvSpPr txBox="1">
                        <a:spLocks noChangeArrowheads="1"/>
                      </wps:cNvSpPr>
                      <wps:spPr bwMode="auto">
                        <a:xfrm>
                          <a:off x="0" y="0"/>
                          <a:ext cx="6134100" cy="594360"/>
                        </a:xfrm>
                        <a:prstGeom prst="rect">
                          <a:avLst/>
                        </a:prstGeom>
                        <a:solidFill>
                          <a:srgbClr val="FFFFFF"/>
                        </a:solidFill>
                        <a:ln>
                          <a:noFill/>
                        </a:ln>
                        <a:effectLst/>
                      </wps:spPr>
                      <wps:txbx>
                        <w:txbxContent>
                          <w:p>
                            <w:pPr>
                              <w:pStyle w:val="99"/>
                            </w:pPr>
                            <w:r>
                              <w:rPr>
                                <w:rFonts w:hint="eastAsia"/>
                              </w:rPr>
                              <w:t>广</w:t>
                            </w:r>
                            <w:r>
                              <w:rPr>
                                <w:rFonts w:hint="eastAsia"/>
                                <w:sz w:val="14"/>
                                <w:szCs w:val="14"/>
                              </w:rPr>
                              <w:t xml:space="preserve"> </w:t>
                            </w:r>
                            <w:r>
                              <w:rPr>
                                <w:rFonts w:hint="eastAsia"/>
                              </w:rPr>
                              <w:t>东</w:t>
                            </w:r>
                            <w:r>
                              <w:rPr>
                                <w:rFonts w:hint="eastAsia"/>
                                <w:sz w:val="14"/>
                                <w:szCs w:val="14"/>
                              </w:rPr>
                              <w:t xml:space="preserve"> </w:t>
                            </w:r>
                            <w:r>
                              <w:rPr>
                                <w:rFonts w:hint="eastAsia"/>
                              </w:rPr>
                              <w:t>省</w:t>
                            </w:r>
                            <w:r>
                              <w:rPr>
                                <w:rFonts w:hint="eastAsia"/>
                                <w:sz w:val="14"/>
                                <w:szCs w:val="14"/>
                              </w:rPr>
                              <w:t xml:space="preserve"> </w:t>
                            </w:r>
                            <w:r>
                              <w:rPr>
                                <w:rFonts w:hint="eastAsia"/>
                              </w:rPr>
                              <w:t>生</w:t>
                            </w:r>
                            <w:r>
                              <w:rPr>
                                <w:rFonts w:hint="eastAsia"/>
                                <w:sz w:val="14"/>
                                <w:szCs w:val="14"/>
                              </w:rPr>
                              <w:t xml:space="preserve"> </w:t>
                            </w:r>
                            <w:r>
                              <w:rPr>
                                <w:rFonts w:hint="eastAsia"/>
                              </w:rPr>
                              <w:t>态</w:t>
                            </w:r>
                            <w:r>
                              <w:rPr>
                                <w:rFonts w:hint="eastAsia"/>
                                <w:sz w:val="14"/>
                                <w:szCs w:val="14"/>
                              </w:rPr>
                              <w:t xml:space="preserve"> </w:t>
                            </w:r>
                            <w:r>
                              <w:rPr>
                                <w:rFonts w:hint="eastAsia"/>
                              </w:rPr>
                              <w:t>环</w:t>
                            </w:r>
                            <w:r>
                              <w:rPr>
                                <w:rFonts w:hint="eastAsia"/>
                                <w:sz w:val="14"/>
                                <w:szCs w:val="14"/>
                              </w:rPr>
                              <w:t xml:space="preserve"> </w:t>
                            </w:r>
                            <w:r>
                              <w:rPr>
                                <w:rFonts w:hint="eastAsia"/>
                              </w:rPr>
                              <w:t>境</w:t>
                            </w:r>
                            <w:r>
                              <w:rPr>
                                <w:rFonts w:hint="eastAsia"/>
                                <w:sz w:val="14"/>
                                <w:szCs w:val="14"/>
                              </w:rPr>
                              <w:t xml:space="preserve"> </w:t>
                            </w:r>
                            <w:r>
                              <w:rPr>
                                <w:rFonts w:hint="eastAsia"/>
                              </w:rPr>
                              <w:t>厅</w:t>
                            </w:r>
                          </w:p>
                          <w:p>
                            <w:pPr>
                              <w:pStyle w:val="99"/>
                              <w:rPr>
                                <w:szCs w:val="36"/>
                              </w:rPr>
                            </w:pPr>
                            <w:r>
                              <w:rPr>
                                <w:rFonts w:hint="eastAsia"/>
                              </w:rPr>
                              <w:t>广东省市场监督管理局</w:t>
                            </w:r>
                          </w:p>
                          <w:p>
                            <w:pPr>
                              <w:pStyle w:val="99"/>
                              <w:rPr>
                                <w:szCs w:val="36"/>
                              </w:rPr>
                            </w:pPr>
                          </w:p>
                        </w:txbxContent>
                      </wps:txbx>
                      <wps:bodyPr rot="0" vert="horz" wrap="square" lIns="0" tIns="0" rIns="0" bIns="0" anchor="t" anchorCtr="0" upright="1">
                        <a:noAutofit/>
                      </wps:bodyPr>
                    </wps:wsp>
                  </a:graphicData>
                </a:graphic>
              </wp:anchor>
            </w:drawing>
          </mc:Choice>
          <mc:Fallback>
            <w:pict>
              <v:shape id="fmFrame7" o:spid="_x0000_s1026" o:spt="202" type="#_x0000_t202" style="position:absolute;left:0pt;margin-left:-24.7pt;margin-top:634.15pt;height:46.8pt;width:483pt;mso-position-horizontal-relative:margin;mso-position-vertical-relative:margin;z-index:251664384;mso-width-relative:page;mso-height-relative:page;" fillcolor="#FFFFFF" filled="t" stroked="f" coordsize="21600,21600" o:gfxdata="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AAAAAZHJz&#10;L1BLAQIUABQAAAAIAIdO4kCQpenv2wAAAA0BAAAPAAAAAAAAAAEAIAAAACIAAABkcnMvZG93bnJl&#10;di54bWxQSwECFAAUAAAACACHTuJAzVLAcfoBAADsAwAADgAAAAAAAAABACAAAAAqAQAAZHJzL2Uy&#10;b0RvYy54bWxQSwUGAAAAAAYABgBZAQAAlgUAAAAA&#10;">
                <v:fill on="t" focussize="0,0"/>
                <v:stroke on="f"/>
                <v:imagedata o:title=""/>
                <o:lock v:ext="edit" aspectratio="f"/>
                <v:textbox inset="0mm,0mm,0mm,0mm">
                  <w:txbxContent>
                    <w:p>
                      <w:pPr>
                        <w:pStyle w:val="99"/>
                      </w:pPr>
                      <w:r>
                        <w:rPr>
                          <w:rFonts w:hint="eastAsia"/>
                        </w:rPr>
                        <w:t>广</w:t>
                      </w:r>
                      <w:r>
                        <w:rPr>
                          <w:rFonts w:hint="eastAsia"/>
                          <w:sz w:val="14"/>
                          <w:szCs w:val="14"/>
                        </w:rPr>
                        <w:t xml:space="preserve"> </w:t>
                      </w:r>
                      <w:r>
                        <w:rPr>
                          <w:rFonts w:hint="eastAsia"/>
                        </w:rPr>
                        <w:t>东</w:t>
                      </w:r>
                      <w:r>
                        <w:rPr>
                          <w:rFonts w:hint="eastAsia"/>
                          <w:sz w:val="14"/>
                          <w:szCs w:val="14"/>
                        </w:rPr>
                        <w:t xml:space="preserve"> </w:t>
                      </w:r>
                      <w:r>
                        <w:rPr>
                          <w:rFonts w:hint="eastAsia"/>
                        </w:rPr>
                        <w:t>省</w:t>
                      </w:r>
                      <w:r>
                        <w:rPr>
                          <w:rFonts w:hint="eastAsia"/>
                          <w:sz w:val="14"/>
                          <w:szCs w:val="14"/>
                        </w:rPr>
                        <w:t xml:space="preserve"> </w:t>
                      </w:r>
                      <w:r>
                        <w:rPr>
                          <w:rFonts w:hint="eastAsia"/>
                        </w:rPr>
                        <w:t>生</w:t>
                      </w:r>
                      <w:r>
                        <w:rPr>
                          <w:rFonts w:hint="eastAsia"/>
                          <w:sz w:val="14"/>
                          <w:szCs w:val="14"/>
                        </w:rPr>
                        <w:t xml:space="preserve"> </w:t>
                      </w:r>
                      <w:r>
                        <w:rPr>
                          <w:rFonts w:hint="eastAsia"/>
                        </w:rPr>
                        <w:t>态</w:t>
                      </w:r>
                      <w:r>
                        <w:rPr>
                          <w:rFonts w:hint="eastAsia"/>
                          <w:sz w:val="14"/>
                          <w:szCs w:val="14"/>
                        </w:rPr>
                        <w:t xml:space="preserve"> </w:t>
                      </w:r>
                      <w:r>
                        <w:rPr>
                          <w:rFonts w:hint="eastAsia"/>
                        </w:rPr>
                        <w:t>环</w:t>
                      </w:r>
                      <w:r>
                        <w:rPr>
                          <w:rFonts w:hint="eastAsia"/>
                          <w:sz w:val="14"/>
                          <w:szCs w:val="14"/>
                        </w:rPr>
                        <w:t xml:space="preserve"> </w:t>
                      </w:r>
                      <w:r>
                        <w:rPr>
                          <w:rFonts w:hint="eastAsia"/>
                        </w:rPr>
                        <w:t>境</w:t>
                      </w:r>
                      <w:r>
                        <w:rPr>
                          <w:rFonts w:hint="eastAsia"/>
                          <w:sz w:val="14"/>
                          <w:szCs w:val="14"/>
                        </w:rPr>
                        <w:t xml:space="preserve"> </w:t>
                      </w:r>
                      <w:r>
                        <w:rPr>
                          <w:rFonts w:hint="eastAsia"/>
                        </w:rPr>
                        <w:t>厅</w:t>
                      </w:r>
                    </w:p>
                    <w:p>
                      <w:pPr>
                        <w:pStyle w:val="99"/>
                        <w:rPr>
                          <w:szCs w:val="36"/>
                        </w:rPr>
                      </w:pPr>
                      <w:r>
                        <w:rPr>
                          <w:rFonts w:hint="eastAsia"/>
                        </w:rPr>
                        <w:t>广东省市场监督管理局</w:t>
                      </w:r>
                    </w:p>
                    <w:p>
                      <w:pPr>
                        <w:pStyle w:val="99"/>
                        <w:rPr>
                          <w:szCs w:val="36"/>
                        </w:rPr>
                      </w:pPr>
                    </w:p>
                  </w:txbxContent>
                </v:textbox>
                <w10:anchorlock/>
              </v:shape>
            </w:pict>
          </mc:Fallback>
        </mc:AlternateContent>
      </w:r>
      <w:r>
        <mc:AlternateContent>
          <mc:Choice Requires="wps">
            <w:drawing>
              <wp:anchor distT="0" distB="0" distL="114300" distR="114300" simplePos="0" relativeHeight="251663360" behindDoc="0" locked="1" layoutInCell="1" allowOverlap="1">
                <wp:simplePos x="0" y="0"/>
                <wp:positionH relativeFrom="margin">
                  <wp:posOffset>4067175</wp:posOffset>
                </wp:positionH>
                <wp:positionV relativeFrom="margin">
                  <wp:posOffset>7545070</wp:posOffset>
                </wp:positionV>
                <wp:extent cx="2019300" cy="312420"/>
                <wp:effectExtent l="0" t="0" r="0" b="11430"/>
                <wp:wrapNone/>
                <wp:docPr id="9" name="fmFrame6"/>
                <wp:cNvGraphicFramePr/>
                <a:graphic xmlns:a="http://schemas.openxmlformats.org/drawingml/2006/main">
                  <a:graphicData uri="http://schemas.microsoft.com/office/word/2010/wordprocessingShape">
                    <wps:wsp>
                      <wps:cNvSpPr txBox="1">
                        <a:spLocks noChangeArrowheads="1"/>
                      </wps:cNvSpPr>
                      <wps:spPr bwMode="auto">
                        <a:xfrm>
                          <a:off x="0" y="0"/>
                          <a:ext cx="2019300" cy="312420"/>
                        </a:xfrm>
                        <a:prstGeom prst="rect">
                          <a:avLst/>
                        </a:prstGeom>
                        <a:solidFill>
                          <a:srgbClr val="FFFFFF"/>
                        </a:solidFill>
                        <a:ln>
                          <a:noFill/>
                        </a:ln>
                        <a:effectLst/>
                      </wps:spPr>
                      <wps:txbx>
                        <w:txbxContent>
                          <w:p>
                            <w:pPr>
                              <w:pStyle w:val="80"/>
                            </w:pPr>
                            <w:r>
                              <w:t>201x</w:t>
                            </w:r>
                            <w:r>
                              <w:rPr>
                                <w:rFonts w:hint="eastAsia"/>
                              </w:rPr>
                              <w:t>-</w:t>
                            </w:r>
                            <w:r>
                              <w:t>xx</w:t>
                            </w:r>
                            <w:r>
                              <w:rPr>
                                <w:rFonts w:hint="eastAsia"/>
                              </w:rPr>
                              <w:t>-</w:t>
                            </w:r>
                            <w:r>
                              <w:t>xx</w:t>
                            </w:r>
                            <w:r>
                              <w:rPr>
                                <w:rFonts w:hint="eastAsia"/>
                              </w:rPr>
                              <w:t>实施</w:t>
                            </w:r>
                          </w:p>
                          <w:p>
                            <w:pPr>
                              <w:pStyle w:val="80"/>
                            </w:pPr>
                          </w:p>
                        </w:txbxContent>
                      </wps:txbx>
                      <wps:bodyPr rot="0" vert="horz" wrap="square" lIns="0" tIns="0" rIns="0" bIns="0" anchor="t" anchorCtr="0" upright="1">
                        <a:noAutofit/>
                      </wps:bodyPr>
                    </wps:wsp>
                  </a:graphicData>
                </a:graphic>
              </wp:anchor>
            </w:drawing>
          </mc:Choice>
          <mc:Fallback>
            <w:pict>
              <v:shape id="fmFrame6" o:spid="_x0000_s1026" o:spt="202" type="#_x0000_t202" style="position:absolute;left:0pt;margin-left:320.25pt;margin-top:594.1pt;height:24.6pt;width:159pt;mso-position-horizontal-relative:margin;mso-position-vertical-relative:margin;z-index:251663360;mso-width-relative:page;mso-height-relative:page;" fillcolor="#FFFFFF" filled="t" stroked="f" coordsize="21600,21600" o:gfxdata="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KkMIzNoAAAANAQAADwAAAAAAAAABACAAAAAiAAAAZHJzL2Rvd25yZXYu&#10;eG1sUEsBAhQAFAAAAAgAh07iQB+cdnT5AQAA6wMAAA4AAAAAAAAAAQAgAAAAKQEAAGRycy9lMm9E&#10;b2MueG1sUEsFBgAAAAAGAAYAWQEAAJQFAAAAAA==&#10;">
                <v:fill on="t" focussize="0,0"/>
                <v:stroke on="f"/>
                <v:imagedata o:title=""/>
                <o:lock v:ext="edit" aspectratio="f"/>
                <v:textbox inset="0mm,0mm,0mm,0mm">
                  <w:txbxContent>
                    <w:p>
                      <w:pPr>
                        <w:pStyle w:val="80"/>
                      </w:pPr>
                      <w:r>
                        <w:t>201x</w:t>
                      </w:r>
                      <w:r>
                        <w:rPr>
                          <w:rFonts w:hint="eastAsia"/>
                        </w:rPr>
                        <w:t>-</w:t>
                      </w:r>
                      <w:r>
                        <w:t>xx</w:t>
                      </w:r>
                      <w:r>
                        <w:rPr>
                          <w:rFonts w:hint="eastAsia"/>
                        </w:rPr>
                        <w:t>-</w:t>
                      </w:r>
                      <w:r>
                        <w:t>xx</w:t>
                      </w:r>
                      <w:r>
                        <w:rPr>
                          <w:rFonts w:hint="eastAsia"/>
                        </w:rPr>
                        <w:t>实施</w:t>
                      </w:r>
                    </w:p>
                    <w:p>
                      <w:pPr>
                        <w:pStyle w:val="80"/>
                      </w:pPr>
                    </w:p>
                  </w:txbxContent>
                </v:textbox>
                <w10:anchorlock/>
              </v:shape>
            </w:pict>
          </mc:Fallback>
        </mc:AlternateContent>
      </w:r>
      <w:r>
        <mc:AlternateContent>
          <mc:Choice Requires="wps">
            <w:drawing>
              <wp:anchor distT="0" distB="0" distL="114300" distR="114300" simplePos="0" relativeHeight="251662336" behindDoc="0" locked="1" layoutInCell="1" allowOverlap="1">
                <wp:simplePos x="0" y="0"/>
                <wp:positionH relativeFrom="margin">
                  <wp:posOffset>66675</wp:posOffset>
                </wp:positionH>
                <wp:positionV relativeFrom="margin">
                  <wp:posOffset>7545070</wp:posOffset>
                </wp:positionV>
                <wp:extent cx="2019300" cy="312420"/>
                <wp:effectExtent l="0" t="0" r="0" b="11430"/>
                <wp:wrapNone/>
                <wp:docPr id="8" name="fmFrame5"/>
                <wp:cNvGraphicFramePr/>
                <a:graphic xmlns:a="http://schemas.openxmlformats.org/drawingml/2006/main">
                  <a:graphicData uri="http://schemas.microsoft.com/office/word/2010/wordprocessingShape">
                    <wps:wsp>
                      <wps:cNvSpPr txBox="1">
                        <a:spLocks noChangeArrowheads="1"/>
                      </wps:cNvSpPr>
                      <wps:spPr bwMode="auto">
                        <a:xfrm>
                          <a:off x="0" y="0"/>
                          <a:ext cx="2019300" cy="312420"/>
                        </a:xfrm>
                        <a:prstGeom prst="rect">
                          <a:avLst/>
                        </a:prstGeom>
                        <a:solidFill>
                          <a:srgbClr val="FFFFFF"/>
                        </a:solidFill>
                        <a:ln>
                          <a:noFill/>
                        </a:ln>
                        <a:effectLst/>
                      </wps:spPr>
                      <wps:txbx>
                        <w:txbxContent>
                          <w:p>
                            <w:pPr>
                              <w:pStyle w:val="81"/>
                            </w:pPr>
                            <w:r>
                              <w:t>201</w:t>
                            </w:r>
                            <w:r>
                              <w:rPr>
                                <w:rFonts w:hint="eastAsia"/>
                              </w:rPr>
                              <w:t>x-</w:t>
                            </w:r>
                            <w:r>
                              <w:t>xx</w:t>
                            </w:r>
                            <w:r>
                              <w:rPr>
                                <w:rFonts w:hint="eastAsia"/>
                              </w:rPr>
                              <w:t>-</w:t>
                            </w:r>
                            <w:r>
                              <w:t>xx</w:t>
                            </w:r>
                            <w:r>
                              <w:rPr>
                                <w:rFonts w:hint="eastAsia"/>
                              </w:rPr>
                              <w:t>发布</w:t>
                            </w:r>
                          </w:p>
                          <w:p>
                            <w:pPr>
                              <w:pStyle w:val="81"/>
                            </w:pPr>
                          </w:p>
                        </w:txbxContent>
                      </wps:txbx>
                      <wps:bodyPr rot="0" vert="horz" wrap="square" lIns="0" tIns="0" rIns="0" bIns="0" anchor="t" anchorCtr="0" upright="1">
                        <a:noAutofit/>
                      </wps:bodyPr>
                    </wps:wsp>
                  </a:graphicData>
                </a:graphic>
              </wp:anchor>
            </w:drawing>
          </mc:Choice>
          <mc:Fallback>
            <w:pict>
              <v:shape id="fmFrame5" o:spid="_x0000_s1026" o:spt="202" type="#_x0000_t202" style="position:absolute;left:0pt;margin-left:5.25pt;margin-top:594.1pt;height:24.6pt;width:159pt;mso-position-horizontal-relative:margin;mso-position-vertical-relative:margin;z-index:251662336;mso-width-relative:page;mso-height-relative:page;" fillcolor="#FFFFFF" filled="t" stroked="f" coordsize="21600,21600" o:gfxdata="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AAAAAZHJzL1BL&#10;AQIUABQAAAAIAIdO4kAd8meo2gAAAAwBAAAPAAAAAAAAAAEAIAAAACIAAABkcnMvZG93bnJldi54&#10;bWxQSwECFAAUAAAACACHTuJAtrhd1PgBAADrAwAADgAAAAAAAAABACAAAAApAQAAZHJzL2Uyb0Rv&#10;Yy54bWxQSwUGAAAAAAYABgBZAQAAkwUAAAAA&#10;">
                <v:fill on="t" focussize="0,0"/>
                <v:stroke on="f"/>
                <v:imagedata o:title=""/>
                <o:lock v:ext="edit" aspectratio="f"/>
                <v:textbox inset="0mm,0mm,0mm,0mm">
                  <w:txbxContent>
                    <w:p>
                      <w:pPr>
                        <w:pStyle w:val="81"/>
                      </w:pPr>
                      <w:r>
                        <w:t>201</w:t>
                      </w:r>
                      <w:r>
                        <w:rPr>
                          <w:rFonts w:hint="eastAsia"/>
                        </w:rPr>
                        <w:t>x-</w:t>
                      </w:r>
                      <w:r>
                        <w:t>xx</w:t>
                      </w:r>
                      <w:r>
                        <w:rPr>
                          <w:rFonts w:hint="eastAsia"/>
                        </w:rPr>
                        <w:t>-</w:t>
                      </w:r>
                      <w:r>
                        <w:t>xx</w:t>
                      </w:r>
                      <w:r>
                        <w:rPr>
                          <w:rFonts w:hint="eastAsia"/>
                        </w:rPr>
                        <w:t>发布</w:t>
                      </w:r>
                    </w:p>
                    <w:p>
                      <w:pPr>
                        <w:pStyle w:val="81"/>
                      </w:pPr>
                    </w:p>
                  </w:txbxContent>
                </v:textbox>
                <w10:anchorlock/>
              </v:shape>
            </w:pict>
          </mc:Fallback>
        </mc:AlternateContent>
      </w:r>
      <w:r>
        <mc:AlternateContent>
          <mc:Choice Requires="wps">
            <w:drawing>
              <wp:anchor distT="0" distB="0" distL="114300" distR="114300" simplePos="0" relativeHeight="251661312" behindDoc="0" locked="1" layoutInCell="1" allowOverlap="1">
                <wp:simplePos x="0" y="0"/>
                <wp:positionH relativeFrom="margin">
                  <wp:posOffset>0</wp:posOffset>
                </wp:positionH>
                <wp:positionV relativeFrom="margin">
                  <wp:posOffset>3639820</wp:posOffset>
                </wp:positionV>
                <wp:extent cx="5969000" cy="4084955"/>
                <wp:effectExtent l="0" t="0" r="12700" b="10795"/>
                <wp:wrapNone/>
                <wp:docPr id="7" name="fmFrame4"/>
                <wp:cNvGraphicFramePr/>
                <a:graphic xmlns:a="http://schemas.openxmlformats.org/drawingml/2006/main">
                  <a:graphicData uri="http://schemas.microsoft.com/office/word/2010/wordprocessingShape">
                    <wps:wsp>
                      <wps:cNvSpPr txBox="1">
                        <a:spLocks noChangeArrowheads="1"/>
                      </wps:cNvSpPr>
                      <wps:spPr bwMode="auto">
                        <a:xfrm>
                          <a:off x="0" y="0"/>
                          <a:ext cx="5969000" cy="4084955"/>
                        </a:xfrm>
                        <a:prstGeom prst="rect">
                          <a:avLst/>
                        </a:prstGeom>
                        <a:solidFill>
                          <a:srgbClr val="FFFFFF"/>
                        </a:solidFill>
                        <a:ln>
                          <a:noFill/>
                        </a:ln>
                        <a:effectLst/>
                      </wps:spPr>
                      <wps:txbx>
                        <w:txbxContent>
                          <w:p>
                            <w:pPr>
                              <w:pStyle w:val="49"/>
                              <w:rPr>
                                <w:rFonts w:ascii="宋体" w:hAnsi="宋体"/>
                                <w:b/>
                                <w:sz w:val="48"/>
                                <w:szCs w:val="48"/>
                              </w:rPr>
                            </w:pPr>
                            <w:r>
                              <w:rPr>
                                <w:rFonts w:hint="eastAsia" w:ascii="宋体" w:hAnsi="宋体"/>
                                <w:b/>
                                <w:sz w:val="48"/>
                                <w:szCs w:val="48"/>
                              </w:rPr>
                              <w:t>玻璃工业大气污染物排放标准</w:t>
                            </w:r>
                          </w:p>
                          <w:p>
                            <w:pPr>
                              <w:pStyle w:val="49"/>
                            </w:pPr>
                            <w:r>
                              <w:t>Emission standard of air</w:t>
                            </w:r>
                            <w:r>
                              <w:rPr>
                                <w:rFonts w:hint="eastAsia"/>
                              </w:rPr>
                              <w:t xml:space="preserve"> </w:t>
                            </w:r>
                            <w:r>
                              <w:t>pollutants for glass industry</w:t>
                            </w:r>
                          </w:p>
                          <w:p>
                            <w:pPr>
                              <w:pStyle w:val="77"/>
                              <w:widowControl w:val="0"/>
                              <w:spacing w:after="160" w:line="240" w:lineRule="auto"/>
                              <w:textAlignment w:val="center"/>
                            </w:pPr>
                            <w:r>
                              <w:rPr>
                                <w:rFonts w:hint="eastAsia" w:hAnsi="Calibri"/>
                                <w:b/>
                                <w:bCs/>
                                <w:iCs/>
                                <w:kern w:val="2"/>
                              </w:rPr>
                              <w:t>（征求意见稿）</w:t>
                            </w:r>
                          </w:p>
                        </w:txbxContent>
                      </wps:txbx>
                      <wps:bodyPr rot="0" vert="horz" wrap="square" lIns="0" tIns="0" rIns="0" bIns="0" anchor="t" anchorCtr="0" upright="1">
                        <a:noAutofit/>
                      </wps:bodyPr>
                    </wps:wsp>
                  </a:graphicData>
                </a:graphic>
              </wp:anchor>
            </w:drawing>
          </mc:Choice>
          <mc:Fallback>
            <w:pict>
              <v:shape id="fmFrame4" o:spid="_x0000_s1026" o:spt="202" type="#_x0000_t202" style="position:absolute;left:0pt;margin-left:0pt;margin-top:286.6pt;height:321.65pt;width:470pt;mso-position-horizontal-relative:margin;mso-position-vertical-relative:margin;z-index:251661312;mso-width-relative:page;mso-height-relative:page;" fillcolor="#FFFFFF" filled="t" stroked="f" coordsize="21600,21600" o:gfxdata="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XzCXqdgAAAAJAQAADwAAAAAAAAABACAAAAAiAAAAZHJzL2Rvd25yZXYu&#10;eG1sUEsBAhQAFAAAAAgAh07iQIFYhln7AQAA7AMAAA4AAAAAAAAAAQAgAAAAJwEAAGRycy9lMm9E&#10;b2MueG1sUEsFBgAAAAAGAAYAWQEAAJQFAAAAAA==&#10;">
                <v:fill on="t" focussize="0,0"/>
                <v:stroke on="f"/>
                <v:imagedata o:title=""/>
                <o:lock v:ext="edit" aspectratio="f"/>
                <v:textbox inset="0mm,0mm,0mm,0mm">
                  <w:txbxContent>
                    <w:p>
                      <w:pPr>
                        <w:pStyle w:val="49"/>
                        <w:rPr>
                          <w:rFonts w:ascii="宋体" w:hAnsi="宋体"/>
                          <w:b/>
                          <w:sz w:val="48"/>
                          <w:szCs w:val="48"/>
                        </w:rPr>
                      </w:pPr>
                      <w:r>
                        <w:rPr>
                          <w:rFonts w:hint="eastAsia" w:ascii="宋体" w:hAnsi="宋体"/>
                          <w:b/>
                          <w:sz w:val="48"/>
                          <w:szCs w:val="48"/>
                        </w:rPr>
                        <w:t>玻璃工业大气污染物排放标准</w:t>
                      </w:r>
                    </w:p>
                    <w:p>
                      <w:pPr>
                        <w:pStyle w:val="49"/>
                      </w:pPr>
                      <w:r>
                        <w:t>Emission standard of air</w:t>
                      </w:r>
                      <w:r>
                        <w:rPr>
                          <w:rFonts w:hint="eastAsia"/>
                        </w:rPr>
                        <w:t xml:space="preserve"> </w:t>
                      </w:r>
                      <w:r>
                        <w:t>pollutants for glass industry</w:t>
                      </w:r>
                    </w:p>
                    <w:p>
                      <w:pPr>
                        <w:pStyle w:val="77"/>
                        <w:widowControl w:val="0"/>
                        <w:spacing w:after="160" w:line="240" w:lineRule="auto"/>
                        <w:textAlignment w:val="center"/>
                      </w:pPr>
                      <w:r>
                        <w:rPr>
                          <w:rFonts w:hint="eastAsia" w:hAnsi="Calibri"/>
                          <w:b/>
                          <w:bCs/>
                          <w:iCs/>
                          <w:kern w:val="2"/>
                        </w:rPr>
                        <w:t>（征求意见稿）</w:t>
                      </w:r>
                    </w:p>
                  </w:txbxContent>
                </v:textbox>
                <w10:anchorlock/>
              </v:shape>
            </w:pict>
          </mc:Fallback>
        </mc:AlternateContent>
      </w:r>
      <w:r>
        <mc:AlternateContent>
          <mc:Choice Requires="wps">
            <w:drawing>
              <wp:anchor distT="0" distB="0" distL="114300" distR="114300" simplePos="0" relativeHeight="251660288" behindDoc="0" locked="1" layoutInCell="1" allowOverlap="1">
                <wp:simplePos x="0" y="0"/>
                <wp:positionH relativeFrom="margin">
                  <wp:posOffset>4152265</wp:posOffset>
                </wp:positionH>
                <wp:positionV relativeFrom="margin">
                  <wp:posOffset>1584960</wp:posOffset>
                </wp:positionV>
                <wp:extent cx="1848485" cy="495300"/>
                <wp:effectExtent l="0" t="0" r="18415" b="0"/>
                <wp:wrapNone/>
                <wp:docPr id="6" name="fmFrame3"/>
                <wp:cNvGraphicFramePr/>
                <a:graphic xmlns:a="http://schemas.openxmlformats.org/drawingml/2006/main">
                  <a:graphicData uri="http://schemas.microsoft.com/office/word/2010/wordprocessingShape">
                    <wps:wsp>
                      <wps:cNvSpPr txBox="1">
                        <a:spLocks noChangeArrowheads="1"/>
                      </wps:cNvSpPr>
                      <wps:spPr bwMode="auto">
                        <a:xfrm>
                          <a:off x="0" y="0"/>
                          <a:ext cx="1848485" cy="495300"/>
                        </a:xfrm>
                        <a:prstGeom prst="rect">
                          <a:avLst/>
                        </a:prstGeom>
                        <a:solidFill>
                          <a:srgbClr val="FFFFFF"/>
                        </a:solidFill>
                        <a:ln>
                          <a:noFill/>
                        </a:ln>
                        <a:effectLst/>
                      </wps:spPr>
                      <wps:txbx>
                        <w:txbxContent>
                          <w:p>
                            <w:pPr>
                              <w:pStyle w:val="51"/>
                            </w:pPr>
                            <w:r>
                              <w:t>DB</w:t>
                            </w:r>
                            <w:r>
                              <w:rPr>
                                <w:rFonts w:hint="eastAsia"/>
                              </w:rPr>
                              <w:t xml:space="preserve"> </w:t>
                            </w:r>
                            <w:r>
                              <w:t>44/xx-</w:t>
                            </w:r>
                            <w:r>
                              <w:rPr>
                                <w:rFonts w:hint="eastAsia"/>
                              </w:rPr>
                              <w:t>20</w:t>
                            </w:r>
                            <w:r>
                              <w:t>1</w:t>
                            </w:r>
                            <w:r>
                              <w:rPr>
                                <w:rFonts w:hint="eastAsia"/>
                              </w:rPr>
                              <w:t>x</w:t>
                            </w:r>
                          </w:p>
                          <w:p>
                            <w:pPr>
                              <w:pStyle w:val="51"/>
                            </w:pPr>
                          </w:p>
                        </w:txbxContent>
                      </wps:txbx>
                      <wps:bodyPr rot="0" vert="horz" wrap="square" lIns="0" tIns="0" rIns="0" bIns="0" anchor="t" anchorCtr="0" upright="1">
                        <a:noAutofit/>
                      </wps:bodyPr>
                    </wps:wsp>
                  </a:graphicData>
                </a:graphic>
              </wp:anchor>
            </w:drawing>
          </mc:Choice>
          <mc:Fallback>
            <w:pict>
              <v:shape id="fmFrame3" o:spid="_x0000_s1026" o:spt="202" type="#_x0000_t202" style="position:absolute;left:0pt;margin-left:326.95pt;margin-top:124.8pt;height:39pt;width:145.55pt;mso-position-horizontal-relative:margin;mso-position-vertical-relative:margin;z-index:251660288;mso-width-relative:page;mso-height-relative:page;" fillcolor="#FFFFFF" filled="t" stroked="f" coordsize="21600,21600" o:gfxdata="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AAAAAGRycy9Q&#10;SwECFAAUAAAACACHTuJAnZTO69oAAAALAQAADwAAAAAAAAABACAAAAAiAAAAZHJzL2Rvd25yZXYu&#10;eG1sUEsBAhQAFAAAAAgAh07iQG+YZCz5AQAA6wMAAA4AAAAAAAAAAQAgAAAAKQEAAGRycy9lMm9E&#10;b2MueG1sUEsFBgAAAAAGAAYAWQEAAJQFAAAAAA==&#10;">
                <v:fill on="t" focussize="0,0"/>
                <v:stroke on="f"/>
                <v:imagedata o:title=""/>
                <o:lock v:ext="edit" aspectratio="f"/>
                <v:textbox inset="0mm,0mm,0mm,0mm">
                  <w:txbxContent>
                    <w:p>
                      <w:pPr>
                        <w:pStyle w:val="51"/>
                      </w:pPr>
                      <w:r>
                        <w:t>DB</w:t>
                      </w:r>
                      <w:r>
                        <w:rPr>
                          <w:rFonts w:hint="eastAsia"/>
                        </w:rPr>
                        <w:t xml:space="preserve"> </w:t>
                      </w:r>
                      <w:r>
                        <w:t>44/xx-</w:t>
                      </w:r>
                      <w:r>
                        <w:rPr>
                          <w:rFonts w:hint="eastAsia"/>
                        </w:rPr>
                        <w:t>20</w:t>
                      </w:r>
                      <w:r>
                        <w:t>1</w:t>
                      </w:r>
                      <w:r>
                        <w:rPr>
                          <w:rFonts w:hint="eastAsia"/>
                        </w:rPr>
                        <w:t>x</w:t>
                      </w:r>
                    </w:p>
                    <w:p>
                      <w:pPr>
                        <w:pStyle w:val="51"/>
                      </w:pPr>
                    </w:p>
                  </w:txbxContent>
                </v:textbox>
                <w10:anchorlock/>
              </v:shape>
            </w:pict>
          </mc:Fallback>
        </mc:AlternateContent>
      </w:r>
      <w:r>
        <mc:AlternateContent>
          <mc:Choice Requires="wps">
            <w:drawing>
              <wp:anchor distT="0" distB="0" distL="114300" distR="114300" simplePos="0" relativeHeight="251659264" behindDoc="0" locked="1" layoutInCell="1" allowOverlap="1">
                <wp:simplePos x="0" y="0"/>
                <wp:positionH relativeFrom="margin">
                  <wp:posOffset>0</wp:posOffset>
                </wp:positionH>
                <wp:positionV relativeFrom="margin">
                  <wp:posOffset>1010920</wp:posOffset>
                </wp:positionV>
                <wp:extent cx="6120130" cy="391160"/>
                <wp:effectExtent l="0" t="0" r="13970" b="8890"/>
                <wp:wrapNone/>
                <wp:docPr id="5" name="fmFrame2"/>
                <wp:cNvGraphicFramePr/>
                <a:graphic xmlns:a="http://schemas.openxmlformats.org/drawingml/2006/main">
                  <a:graphicData uri="http://schemas.microsoft.com/office/word/2010/wordprocessingShape">
                    <wps:wsp>
                      <wps:cNvSpPr txBox="1">
                        <a:spLocks noChangeArrowheads="1"/>
                      </wps:cNvSpPr>
                      <wps:spPr bwMode="auto">
                        <a:xfrm>
                          <a:off x="0" y="0"/>
                          <a:ext cx="6120130" cy="391160"/>
                        </a:xfrm>
                        <a:prstGeom prst="rect">
                          <a:avLst/>
                        </a:prstGeom>
                        <a:solidFill>
                          <a:srgbClr val="FFFFFF"/>
                        </a:solidFill>
                        <a:ln>
                          <a:noFill/>
                        </a:ln>
                        <a:effectLst/>
                      </wps:spPr>
                      <wps:txbx>
                        <w:txbxContent>
                          <w:p>
                            <w:pPr>
                              <w:pStyle w:val="90"/>
                            </w:pPr>
                            <w:r>
                              <w:rPr>
                                <w:rFonts w:hint="eastAsia"/>
                              </w:rPr>
                              <w:t>广东省地方标准</w:t>
                            </w:r>
                          </w:p>
                          <w:p>
                            <w:pPr>
                              <w:pStyle w:val="90"/>
                            </w:pPr>
                          </w:p>
                        </w:txbxContent>
                      </wps:txbx>
                      <wps:bodyPr rot="0" vert="horz" wrap="square" lIns="0" tIns="0" rIns="0" bIns="0" anchor="t" anchorCtr="0" upright="1">
                        <a:noAutofit/>
                      </wps:bodyPr>
                    </wps:wsp>
                  </a:graphicData>
                </a:graphic>
              </wp:anchor>
            </w:drawing>
          </mc:Choice>
          <mc:Fallback>
            <w:pict>
              <v:shape id="fmFrame2" o:spid="_x0000_s1026" o:spt="202" type="#_x0000_t202" style="position:absolute;left:0pt;margin-left:0pt;margin-top:79.6pt;height:30.8pt;width:481.9pt;mso-position-horizontal-relative:margin;mso-position-vertical-relative:margin;z-index:251659264;mso-width-relative:page;mso-height-relative:page;" fillcolor="#FFFFFF" filled="t" stroked="f" coordsize="21600,21600" o:gfxdata="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BGDkcF1wAAAAgBAAAPAAAAAAAAAAEAIAAAACIAAABkcnMvZG93bnJldi54bWxQ&#10;SwECFAAUAAAACACHTuJAzrWJKfgBAADrAwAADgAAAAAAAAABACAAAAAmAQAAZHJzL2Uyb0RvYy54&#10;bWxQSwUGAAAAAAYABgBZAQAAkAUAAAAA&#10;">
                <v:fill on="t" focussize="0,0"/>
                <v:stroke on="f"/>
                <v:imagedata o:title=""/>
                <o:lock v:ext="edit" aspectratio="f"/>
                <v:textbox inset="0mm,0mm,0mm,0mm">
                  <w:txbxContent>
                    <w:p>
                      <w:pPr>
                        <w:pStyle w:val="90"/>
                      </w:pPr>
                      <w:r>
                        <w:rPr>
                          <w:rFonts w:hint="eastAsia"/>
                        </w:rPr>
                        <w:t>广东省地方标准</w:t>
                      </w:r>
                    </w:p>
                    <w:p>
                      <w:pPr>
                        <w:pStyle w:val="90"/>
                      </w:pPr>
                    </w:p>
                  </w:txbxContent>
                </v:textbox>
                <w10:anchorlock/>
              </v:shape>
            </w:pict>
          </mc:Fallback>
        </mc:AlternateContent>
      </w:r>
      <w:r>
        <mc:AlternateContent>
          <mc:Choice Requires="wps">
            <w:drawing>
              <wp:anchor distT="0" distB="0" distL="114300" distR="114300" simplePos="0" relativeHeight="251658240" behindDoc="0" locked="1" layoutInCell="1" allowOverlap="1">
                <wp:simplePos x="0" y="0"/>
                <wp:positionH relativeFrom="margin">
                  <wp:posOffset>0</wp:posOffset>
                </wp:positionH>
                <wp:positionV relativeFrom="margin">
                  <wp:posOffset>36830</wp:posOffset>
                </wp:positionV>
                <wp:extent cx="2540000" cy="514350"/>
                <wp:effectExtent l="0" t="0" r="12700" b="0"/>
                <wp:wrapNone/>
                <wp:docPr id="4" name="fmFrame1"/>
                <wp:cNvGraphicFramePr/>
                <a:graphic xmlns:a="http://schemas.openxmlformats.org/drawingml/2006/main">
                  <a:graphicData uri="http://schemas.microsoft.com/office/word/2010/wordprocessingShape">
                    <wps:wsp>
                      <wps:cNvSpPr txBox="1">
                        <a:spLocks noChangeArrowheads="1"/>
                      </wps:cNvSpPr>
                      <wps:spPr bwMode="auto">
                        <a:xfrm>
                          <a:off x="0" y="0"/>
                          <a:ext cx="2540000" cy="514350"/>
                        </a:xfrm>
                        <a:prstGeom prst="rect">
                          <a:avLst/>
                        </a:prstGeom>
                        <a:solidFill>
                          <a:srgbClr val="FFFFFF"/>
                        </a:solidFill>
                        <a:ln>
                          <a:noFill/>
                        </a:ln>
                        <a:effectLst/>
                      </wps:spPr>
                      <wps:txbx>
                        <w:txbxContent>
                          <w:p>
                            <w:pPr>
                              <w:pStyle w:val="66"/>
                            </w:pPr>
                            <w:r>
                              <w:t>ICSxx</w:t>
                            </w:r>
                            <w:r>
                              <w:rPr>
                                <w:rFonts w:hint="eastAsia"/>
                              </w:rPr>
                              <w:t>.</w:t>
                            </w:r>
                            <w:r>
                              <w:t>xxx</w:t>
                            </w:r>
                            <w:r>
                              <w:rPr>
                                <w:rFonts w:hint="eastAsia"/>
                              </w:rPr>
                              <w:t>.</w:t>
                            </w:r>
                            <w:r>
                              <w:t>xx</w:t>
                            </w:r>
                          </w:p>
                          <w:p>
                            <w:pPr>
                              <w:pStyle w:val="66"/>
                            </w:pPr>
                            <w:r>
                              <w:rPr>
                                <w:rFonts w:hint="eastAsia"/>
                              </w:rPr>
                              <w:t>Zxx</w:t>
                            </w:r>
                          </w:p>
                          <w:p/>
                        </w:txbxContent>
                      </wps:txbx>
                      <wps:bodyPr rot="0" vert="horz" wrap="square" lIns="0" tIns="0" rIns="0" bIns="0" anchor="t" anchorCtr="0" upright="1">
                        <a:noAutofit/>
                      </wps:bodyPr>
                    </wps:wsp>
                  </a:graphicData>
                </a:graphic>
              </wp:anchor>
            </w:drawing>
          </mc:Choice>
          <mc:Fallback>
            <w:pict>
              <v:shape id="fmFrame1" o:spid="_x0000_s1026" o:spt="202" type="#_x0000_t202" style="position:absolute;left:0pt;margin-left:0pt;margin-top:2.9pt;height:40.5pt;width:200pt;mso-position-horizontal-relative:margin;mso-position-vertical-relative:margin;z-index:251658240;mso-width-relative:page;mso-height-relative:page;" fillcolor="#FFFFFF" filled="t" stroked="f" coordsize="21600,21600" o:gfxdata="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D3/iujUAAAABQEAAA8AAAAAAAAAAQAgAAAAIgAAAGRycy9kb3ducmV2LnhtbFBL&#10;AQIUABQAAAAIAIdO4kBkN7lu+gEAAOsDAAAOAAAAAAAAAAEAIAAAACMBAABkcnMvZTJvRG9jLnht&#10;bFBLBQYAAAAABgAGAFkBAACPBQAAAAA=&#10;">
                <v:fill on="t" focussize="0,0"/>
                <v:stroke on="f"/>
                <v:imagedata o:title=""/>
                <o:lock v:ext="edit" aspectratio="f"/>
                <v:textbox inset="0mm,0mm,0mm,0mm">
                  <w:txbxContent>
                    <w:p>
                      <w:pPr>
                        <w:pStyle w:val="66"/>
                      </w:pPr>
                      <w:r>
                        <w:t>ICSxx</w:t>
                      </w:r>
                      <w:r>
                        <w:rPr>
                          <w:rFonts w:hint="eastAsia"/>
                        </w:rPr>
                        <w:t>.</w:t>
                      </w:r>
                      <w:r>
                        <w:t>xxx</w:t>
                      </w:r>
                      <w:r>
                        <w:rPr>
                          <w:rFonts w:hint="eastAsia"/>
                        </w:rPr>
                        <w:t>.</w:t>
                      </w:r>
                      <w:r>
                        <w:t>xx</w:t>
                      </w:r>
                    </w:p>
                    <w:p>
                      <w:pPr>
                        <w:pStyle w:val="66"/>
                      </w:pPr>
                      <w:r>
                        <w:rPr>
                          <w:rFonts w:hint="eastAsia"/>
                        </w:rPr>
                        <w:t>Zxx</w:t>
                      </w:r>
                    </w:p>
                    <w:p/>
                  </w:txbxContent>
                </v:textbox>
                <w10:anchorlock/>
              </v:shape>
            </w:pict>
          </mc:Fallback>
        </mc:AlternateContent>
      </w:r>
      <w:bookmarkEnd w:id="0"/>
    </w:p>
    <w:p>
      <w:pPr>
        <w:autoSpaceDE w:val="0"/>
        <w:autoSpaceDN w:val="0"/>
        <w:adjustRightInd w:val="0"/>
        <w:ind w:firstLine="422" w:firstLineChars="200"/>
        <w:jc w:val="center"/>
        <w:rPr>
          <w:rFonts w:ascii="黑体" w:hAnsi="黑体" w:eastAsia="黑体"/>
          <w:b/>
        </w:rPr>
      </w:pPr>
    </w:p>
    <w:p>
      <w:pPr>
        <w:pStyle w:val="83"/>
        <w:jc w:val="left"/>
        <w:rPr>
          <w:b/>
        </w:rPr>
      </w:pPr>
      <w:bookmarkStart w:id="9" w:name="_GoBack"/>
      <w:bookmarkEnd w:id="9"/>
    </w:p>
    <w:p>
      <w:pPr>
        <w:widowControl/>
        <w:jc w:val="left"/>
        <w:rPr>
          <w:rFonts w:ascii="宋体"/>
          <w:b/>
          <w:kern w:val="0"/>
          <w:szCs w:val="20"/>
        </w:rPr>
      </w:pPr>
      <w:r>
        <w:rPr>
          <w:b/>
        </w:rPr>
        <mc:AlternateContent>
          <mc:Choice Requires="wps">
            <w:drawing>
              <wp:anchor distT="0" distB="0" distL="114300" distR="114300" simplePos="0" relativeHeight="251667456" behindDoc="0" locked="0" layoutInCell="1" allowOverlap="1">
                <wp:simplePos x="0" y="0"/>
                <wp:positionH relativeFrom="column">
                  <wp:posOffset>4723765</wp:posOffset>
                </wp:positionH>
                <wp:positionV relativeFrom="paragraph">
                  <wp:posOffset>7531735</wp:posOffset>
                </wp:positionV>
                <wp:extent cx="733425" cy="351155"/>
                <wp:effectExtent l="0" t="0" r="9525" b="10795"/>
                <wp:wrapNone/>
                <wp:docPr id="3" name="Quad Arrow 11"/>
                <wp:cNvGraphicFramePr/>
                <a:graphic xmlns:a="http://schemas.openxmlformats.org/drawingml/2006/main">
                  <a:graphicData uri="http://schemas.microsoft.com/office/word/2010/wordprocessingShape">
                    <wps:wsp>
                      <wps:cNvSpPr txBox="1">
                        <a:spLocks noChangeArrowheads="1"/>
                      </wps:cNvSpPr>
                      <wps:spPr bwMode="auto">
                        <a:xfrm>
                          <a:off x="0" y="0"/>
                          <a:ext cx="733425" cy="351155"/>
                        </a:xfrm>
                        <a:prstGeom prst="rect">
                          <a:avLst/>
                        </a:prstGeom>
                        <a:solidFill>
                          <a:srgbClr val="FFFFFF"/>
                        </a:solidFill>
                        <a:ln>
                          <a:noFill/>
                        </a:ln>
                        <a:effectLst/>
                      </wps:spPr>
                      <wps:txbx>
                        <w:txbxContent>
                          <w:p>
                            <w:pPr>
                              <w:rPr>
                                <w:rFonts w:ascii="黑体" w:eastAsia="黑体"/>
                                <w:sz w:val="28"/>
                                <w:szCs w:val="28"/>
                              </w:rPr>
                            </w:pPr>
                            <w:r>
                              <w:rPr>
                                <w:rFonts w:hint="eastAsia" w:ascii="黑体" w:eastAsia="黑体"/>
                                <w:sz w:val="28"/>
                                <w:szCs w:val="28"/>
                              </w:rPr>
                              <w:t>发布</w:t>
                            </w:r>
                          </w:p>
                          <w:p>
                            <w:pPr>
                              <w:rPr>
                                <w:rFonts w:ascii="黑体" w:eastAsia="黑体"/>
                                <w:sz w:val="28"/>
                                <w:szCs w:val="28"/>
                              </w:rPr>
                            </w:pPr>
                          </w:p>
                        </w:txbxContent>
                      </wps:txbx>
                      <wps:bodyPr rot="0" vert="horz" wrap="square" lIns="91440" tIns="10795" rIns="91440" bIns="45720" anchor="t" anchorCtr="0" upright="1">
                        <a:noAutofit/>
                      </wps:bodyPr>
                    </wps:wsp>
                  </a:graphicData>
                </a:graphic>
              </wp:anchor>
            </w:drawing>
          </mc:Choice>
          <mc:Fallback>
            <w:pict>
              <v:shape id="Quad Arrow 11" o:spid="_x0000_s1026" o:spt="202" type="#_x0000_t202" style="position:absolute;left:0pt;margin-left:371.95pt;margin-top:593.05pt;height:27.65pt;width:57.75pt;z-index:251667456;mso-width-relative:page;mso-height-relative:page;" fillcolor="#FFFFFF" filled="t" stroked="f" coordsize="21600,21600" o:gfxdata="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p/SOmdsAAAANAQAADwAAAAAAAAABACAA&#10;AAAiAAAAZHJzL2Rvd25yZXYueG1sUEsBAhQAFAAAAAgAh07iQJRZJqQKAgAA/wMAAA4AAAAAAAAA&#10;AQAgAAAAKgEAAGRycy9lMm9Eb2MueG1sUEsFBgAAAAAGAAYAWQEAAKYFAAAAAA==&#10;">
                <v:fill on="t" focussize="0,0"/>
                <v:stroke on="f"/>
                <v:imagedata o:title=""/>
                <o:lock v:ext="edit" aspectratio="f"/>
                <v:textbox inset="2.54mm,0.85pt,2.54mm,1.27mm">
                  <w:txbxContent>
                    <w:p>
                      <w:pPr>
                        <w:rPr>
                          <w:rFonts w:ascii="黑体" w:eastAsia="黑体"/>
                          <w:sz w:val="28"/>
                          <w:szCs w:val="28"/>
                        </w:rPr>
                      </w:pPr>
                      <w:r>
                        <w:rPr>
                          <w:rFonts w:hint="eastAsia" w:ascii="黑体" w:eastAsia="黑体"/>
                          <w:sz w:val="28"/>
                          <w:szCs w:val="28"/>
                        </w:rPr>
                        <w:t>发布</w:t>
                      </w:r>
                    </w:p>
                    <w:p>
                      <w:pPr>
                        <w:rPr>
                          <w:rFonts w:ascii="黑体" w:eastAsia="黑体"/>
                          <w:sz w:val="28"/>
                          <w:szCs w:val="28"/>
                        </w:rPr>
                      </w:pPr>
                    </w:p>
                  </w:txbxContent>
                </v:textbox>
              </v:shape>
            </w:pict>
          </mc:Fallback>
        </mc:AlternateContent>
      </w:r>
      <w:r>
        <w:rPr>
          <w:b/>
        </w:rPr>
        <mc:AlternateContent>
          <mc:Choice Requires="wps">
            <w:drawing>
              <wp:anchor distT="0" distB="0" distL="114300" distR="114300" simplePos="0" relativeHeight="251666432" behindDoc="0" locked="0" layoutInCell="1" allowOverlap="1">
                <wp:simplePos x="0" y="0"/>
                <wp:positionH relativeFrom="column">
                  <wp:posOffset>46355</wp:posOffset>
                </wp:positionH>
                <wp:positionV relativeFrom="paragraph">
                  <wp:posOffset>6859270</wp:posOffset>
                </wp:positionV>
                <wp:extent cx="6121400" cy="635"/>
                <wp:effectExtent l="0" t="0" r="0" b="0"/>
                <wp:wrapNone/>
                <wp:docPr id="2" name="Line 12"/>
                <wp:cNvGraphicFramePr/>
                <a:graphic xmlns:a="http://schemas.openxmlformats.org/drawingml/2006/main">
                  <a:graphicData uri="http://schemas.microsoft.com/office/word/2010/wordprocessingShape">
                    <wps:wsp>
                      <wps:cNvCnPr>
                        <a:cxnSpLocks noChangeShapeType="1"/>
                      </wps:cNvCnPr>
                      <wps:spPr bwMode="auto">
                        <a:xfrm>
                          <a:off x="0" y="0"/>
                          <a:ext cx="6121400" cy="635"/>
                        </a:xfrm>
                        <a:prstGeom prst="line">
                          <a:avLst/>
                        </a:prstGeom>
                        <a:noFill/>
                        <a:ln w="9525">
                          <a:solidFill>
                            <a:srgbClr val="800008"/>
                          </a:solidFill>
                          <a:round/>
                        </a:ln>
                        <a:effectLst/>
                      </wps:spPr>
                      <wps:bodyPr/>
                    </wps:wsp>
                  </a:graphicData>
                </a:graphic>
              </wp:anchor>
            </w:drawing>
          </mc:Choice>
          <mc:Fallback>
            <w:pict>
              <v:line id="Line 12" o:spid="_x0000_s1026" o:spt="20" style="position:absolute;left:0pt;margin-left:3.65pt;margin-top:540.1pt;height:0.05pt;width:482pt;z-index:251666432;mso-width-relative:page;mso-height-relative:page;" filled="f" stroked="t" coordsize="21600,21600" o:gfxdata="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">
                <v:fill on="f" focussize="0,0"/>
                <v:stroke color="#800008" joinstyle="round"/>
                <v:imagedata o:title=""/>
                <o:lock v:ext="edit" aspectratio="f"/>
              </v:line>
            </w:pict>
          </mc:Fallback>
        </mc:AlternateContent>
      </w:r>
      <w:r>
        <w:rPr>
          <w:b/>
        </w:rPr>
        <w:br w:type="page"/>
      </w:r>
    </w:p>
    <w:p>
      <w:pPr>
        <w:pStyle w:val="83"/>
        <w:jc w:val="left"/>
        <w:rPr>
          <w:b/>
        </w:rPr>
        <w:sectPr>
          <w:footerReference r:id="rId4" w:type="default"/>
          <w:headerReference r:id="rId3" w:type="even"/>
          <w:footerReference r:id="rId5" w:type="even"/>
          <w:pgSz w:w="11907" w:h="16839"/>
          <w:pgMar w:top="1418" w:right="1134" w:bottom="1134" w:left="1418" w:header="1418" w:footer="851" w:gutter="0"/>
          <w:pgNumType w:fmt="upperRoman" w:start="1"/>
          <w:cols w:space="720" w:num="1"/>
          <w:docGrid w:type="lines" w:linePitch="312" w:charSpace="0"/>
        </w:sectPr>
      </w:pPr>
    </w:p>
    <w:p>
      <w:pPr>
        <w:pStyle w:val="76"/>
      </w:pPr>
      <w:r>
        <w:rPr>
          <w:rFonts w:hint="eastAsia"/>
        </w:rPr>
        <w:t>目    次</w:t>
      </w:r>
    </w:p>
    <w:p>
      <w:pPr>
        <w:pStyle w:val="19"/>
        <w:tabs>
          <w:tab w:val="right" w:leader="dot" w:pos="9345"/>
        </w:tabs>
        <w:spacing w:line="480" w:lineRule="auto"/>
        <w:rPr>
          <w:rFonts w:ascii="Times New Roman"/>
          <w:kern w:val="2"/>
          <w:szCs w:val="21"/>
        </w:rPr>
      </w:pPr>
      <w:r>
        <w:rPr>
          <w:rFonts w:ascii="Times New Roman"/>
          <w:szCs w:val="21"/>
        </w:rPr>
        <w:fldChar w:fldCharType="begin"/>
      </w:r>
      <w:r>
        <w:rPr>
          <w:rFonts w:ascii="Times New Roman"/>
          <w:szCs w:val="21"/>
        </w:rPr>
        <w:instrText xml:space="preserve"> TOC \f \h \t "前言、引言标题,附录标识,参考文献、索引标题,章标题,附录章标题" </w:instrText>
      </w:r>
      <w:r>
        <w:rPr>
          <w:rFonts w:ascii="Times New Roman"/>
          <w:szCs w:val="21"/>
        </w:rPr>
        <w:fldChar w:fldCharType="separate"/>
      </w:r>
      <w:r>
        <w:fldChar w:fldCharType="begin"/>
      </w:r>
      <w:r>
        <w:instrText xml:space="preserve"> HYPERLINK \l "_Toc447722477" </w:instrText>
      </w:r>
      <w:r>
        <w:fldChar w:fldCharType="separate"/>
      </w:r>
      <w:r>
        <w:rPr>
          <w:rStyle w:val="41"/>
          <w:szCs w:val="21"/>
        </w:rPr>
        <w:t>前言</w:t>
      </w:r>
      <w:r>
        <w:rPr>
          <w:rFonts w:ascii="Times New Roman"/>
          <w:szCs w:val="21"/>
        </w:rPr>
        <w:tab/>
      </w:r>
      <w:r>
        <w:rPr>
          <w:rFonts w:ascii="Times New Roman"/>
          <w:szCs w:val="21"/>
        </w:rPr>
        <w:fldChar w:fldCharType="begin"/>
      </w:r>
      <w:r>
        <w:rPr>
          <w:rFonts w:ascii="Times New Roman"/>
          <w:szCs w:val="21"/>
        </w:rPr>
        <w:instrText xml:space="preserve"> PAGEREF _Toc447722477 \h </w:instrText>
      </w:r>
      <w:r>
        <w:rPr>
          <w:rFonts w:ascii="Times New Roman"/>
          <w:szCs w:val="21"/>
        </w:rPr>
        <w:fldChar w:fldCharType="separate"/>
      </w:r>
      <w:r>
        <w:rPr>
          <w:rFonts w:ascii="Times New Roman"/>
          <w:szCs w:val="21"/>
        </w:rPr>
        <w:t>II</w:t>
      </w:r>
      <w:r>
        <w:rPr>
          <w:rFonts w:ascii="Times New Roman"/>
          <w:szCs w:val="21"/>
        </w:rPr>
        <w:fldChar w:fldCharType="end"/>
      </w:r>
      <w:r>
        <w:rPr>
          <w:rFonts w:ascii="Times New Roman"/>
          <w:szCs w:val="21"/>
        </w:rPr>
        <w:fldChar w:fldCharType="end"/>
      </w:r>
    </w:p>
    <w:p>
      <w:pPr>
        <w:pStyle w:val="16"/>
        <w:tabs>
          <w:tab w:val="right" w:leader="dot" w:pos="9345"/>
        </w:tabs>
        <w:spacing w:line="480" w:lineRule="auto"/>
        <w:rPr>
          <w:rFonts w:ascii="Times New Roman"/>
          <w:kern w:val="2"/>
          <w:szCs w:val="21"/>
        </w:rPr>
      </w:pPr>
      <w:r>
        <w:fldChar w:fldCharType="begin"/>
      </w:r>
      <w:r>
        <w:instrText xml:space="preserve"> HYPERLINK \l "_Toc447722478" </w:instrText>
      </w:r>
      <w:r>
        <w:fldChar w:fldCharType="separate"/>
      </w:r>
      <w:r>
        <w:rPr>
          <w:rStyle w:val="41"/>
          <w:szCs w:val="21"/>
        </w:rPr>
        <w:t>1 适用范围</w:t>
      </w:r>
      <w:r>
        <w:rPr>
          <w:rFonts w:ascii="Times New Roman"/>
          <w:szCs w:val="21"/>
        </w:rPr>
        <w:tab/>
      </w:r>
      <w:r>
        <w:rPr>
          <w:rFonts w:hint="eastAsia" w:ascii="Times New Roman"/>
          <w:szCs w:val="21"/>
        </w:rPr>
        <w:t>1</w:t>
      </w:r>
      <w:r>
        <w:rPr>
          <w:rFonts w:hint="eastAsia" w:ascii="Times New Roman"/>
          <w:szCs w:val="21"/>
        </w:rPr>
        <w:fldChar w:fldCharType="end"/>
      </w:r>
    </w:p>
    <w:p>
      <w:pPr>
        <w:pStyle w:val="16"/>
        <w:tabs>
          <w:tab w:val="right" w:leader="dot" w:pos="9345"/>
        </w:tabs>
        <w:spacing w:line="480" w:lineRule="auto"/>
        <w:rPr>
          <w:rFonts w:ascii="Times New Roman"/>
          <w:kern w:val="2"/>
          <w:szCs w:val="21"/>
        </w:rPr>
      </w:pPr>
      <w:r>
        <w:fldChar w:fldCharType="begin"/>
      </w:r>
      <w:r>
        <w:instrText xml:space="preserve"> HYPERLINK \l "_Toc447722479" </w:instrText>
      </w:r>
      <w:r>
        <w:fldChar w:fldCharType="separate"/>
      </w:r>
      <w:r>
        <w:rPr>
          <w:rStyle w:val="41"/>
          <w:szCs w:val="21"/>
        </w:rPr>
        <w:t>2 规范性引用文件</w:t>
      </w:r>
      <w:r>
        <w:rPr>
          <w:rFonts w:ascii="Times New Roman"/>
          <w:szCs w:val="21"/>
        </w:rPr>
        <w:tab/>
      </w:r>
      <w:r>
        <w:rPr>
          <w:rFonts w:hint="eastAsia" w:ascii="Times New Roman"/>
          <w:szCs w:val="21"/>
        </w:rPr>
        <w:t>1</w:t>
      </w:r>
      <w:r>
        <w:rPr>
          <w:rFonts w:hint="eastAsia" w:ascii="Times New Roman"/>
          <w:szCs w:val="21"/>
        </w:rPr>
        <w:fldChar w:fldCharType="end"/>
      </w:r>
    </w:p>
    <w:p>
      <w:pPr>
        <w:pStyle w:val="16"/>
        <w:tabs>
          <w:tab w:val="right" w:leader="dot" w:pos="9345"/>
        </w:tabs>
        <w:spacing w:line="480" w:lineRule="auto"/>
        <w:rPr>
          <w:rFonts w:ascii="Times New Roman"/>
          <w:kern w:val="2"/>
          <w:szCs w:val="21"/>
        </w:rPr>
      </w:pPr>
      <w:r>
        <w:fldChar w:fldCharType="begin"/>
      </w:r>
      <w:r>
        <w:instrText xml:space="preserve"> HYPERLINK \l "_Toc447722480" </w:instrText>
      </w:r>
      <w:r>
        <w:fldChar w:fldCharType="separate"/>
      </w:r>
      <w:r>
        <w:rPr>
          <w:rStyle w:val="41"/>
          <w:szCs w:val="21"/>
        </w:rPr>
        <w:t>3 术语和定义</w:t>
      </w:r>
      <w:r>
        <w:rPr>
          <w:rFonts w:ascii="Times New Roman"/>
          <w:szCs w:val="21"/>
        </w:rPr>
        <w:tab/>
      </w:r>
      <w:r>
        <w:rPr>
          <w:rFonts w:hint="eastAsia" w:ascii="Times New Roman"/>
          <w:szCs w:val="21"/>
        </w:rPr>
        <w:t>2</w:t>
      </w:r>
      <w:r>
        <w:rPr>
          <w:rFonts w:hint="eastAsia" w:ascii="Times New Roman"/>
          <w:szCs w:val="21"/>
        </w:rPr>
        <w:fldChar w:fldCharType="end"/>
      </w:r>
    </w:p>
    <w:p>
      <w:pPr>
        <w:pStyle w:val="16"/>
        <w:tabs>
          <w:tab w:val="right" w:leader="dot" w:pos="9345"/>
        </w:tabs>
        <w:spacing w:line="480" w:lineRule="auto"/>
        <w:rPr>
          <w:rFonts w:ascii="Times New Roman"/>
          <w:kern w:val="2"/>
          <w:szCs w:val="21"/>
        </w:rPr>
      </w:pPr>
      <w:r>
        <w:fldChar w:fldCharType="begin"/>
      </w:r>
      <w:r>
        <w:instrText xml:space="preserve"> HYPERLINK \l "_Toc447722481" </w:instrText>
      </w:r>
      <w:r>
        <w:fldChar w:fldCharType="separate"/>
      </w:r>
      <w:r>
        <w:rPr>
          <w:rStyle w:val="41"/>
          <w:szCs w:val="21"/>
        </w:rPr>
        <w:t xml:space="preserve">4 </w:t>
      </w:r>
      <w:r>
        <w:rPr>
          <w:rStyle w:val="41"/>
          <w:rFonts w:hint="eastAsia"/>
          <w:szCs w:val="21"/>
        </w:rPr>
        <w:t>大气污染物排放</w:t>
      </w:r>
      <w:r>
        <w:rPr>
          <w:rStyle w:val="41"/>
          <w:szCs w:val="21"/>
        </w:rPr>
        <w:t>控制要求</w:t>
      </w:r>
      <w:r>
        <w:rPr>
          <w:rFonts w:ascii="Times New Roman"/>
          <w:szCs w:val="21"/>
        </w:rPr>
        <w:tab/>
      </w:r>
      <w:r>
        <w:rPr>
          <w:rFonts w:hint="eastAsia" w:ascii="Times New Roman"/>
          <w:szCs w:val="21"/>
        </w:rPr>
        <w:t>3</w:t>
      </w:r>
      <w:r>
        <w:rPr>
          <w:rFonts w:hint="eastAsia" w:ascii="Times New Roman"/>
          <w:szCs w:val="21"/>
        </w:rPr>
        <w:fldChar w:fldCharType="end"/>
      </w:r>
    </w:p>
    <w:p>
      <w:pPr>
        <w:pStyle w:val="16"/>
        <w:tabs>
          <w:tab w:val="right" w:leader="dot" w:pos="9345"/>
        </w:tabs>
        <w:spacing w:line="480" w:lineRule="auto"/>
        <w:rPr>
          <w:rFonts w:ascii="Times New Roman"/>
          <w:kern w:val="2"/>
          <w:szCs w:val="21"/>
        </w:rPr>
      </w:pPr>
      <w:r>
        <w:fldChar w:fldCharType="begin"/>
      </w:r>
      <w:r>
        <w:instrText xml:space="preserve"> HYPERLINK \l "_Toc447722482" </w:instrText>
      </w:r>
      <w:r>
        <w:fldChar w:fldCharType="separate"/>
      </w:r>
      <w:r>
        <w:rPr>
          <w:rStyle w:val="41"/>
          <w:szCs w:val="21"/>
        </w:rPr>
        <w:t>5</w:t>
      </w:r>
      <w:r>
        <w:rPr>
          <w:rStyle w:val="41"/>
          <w:rFonts w:hint="eastAsia"/>
          <w:szCs w:val="21"/>
        </w:rPr>
        <w:t xml:space="preserve"> 大气污染物监测要求</w:t>
      </w:r>
      <w:r>
        <w:rPr>
          <w:rStyle w:val="41"/>
          <w:szCs w:val="21"/>
        </w:rPr>
        <w:t>求</w:t>
      </w:r>
      <w:r>
        <w:rPr>
          <w:rFonts w:ascii="Times New Roman"/>
          <w:szCs w:val="21"/>
        </w:rPr>
        <w:tab/>
      </w:r>
      <w:r>
        <w:rPr>
          <w:rFonts w:hint="eastAsia" w:ascii="Times New Roman"/>
          <w:szCs w:val="21"/>
        </w:rPr>
        <w:t>4</w:t>
      </w:r>
      <w:r>
        <w:rPr>
          <w:rFonts w:hint="eastAsia" w:ascii="Times New Roman"/>
          <w:szCs w:val="21"/>
        </w:rPr>
        <w:fldChar w:fldCharType="end"/>
      </w:r>
    </w:p>
    <w:p>
      <w:pPr>
        <w:pStyle w:val="16"/>
        <w:tabs>
          <w:tab w:val="right" w:leader="dot" w:pos="9345"/>
        </w:tabs>
        <w:spacing w:line="480" w:lineRule="auto"/>
        <w:rPr>
          <w:rFonts w:ascii="Times New Roman"/>
          <w:kern w:val="2"/>
          <w:szCs w:val="21"/>
        </w:rPr>
      </w:pPr>
      <w:r>
        <w:fldChar w:fldCharType="begin"/>
      </w:r>
      <w:r>
        <w:instrText xml:space="preserve"> HYPERLINK \l "_Toc447722483" </w:instrText>
      </w:r>
      <w:r>
        <w:fldChar w:fldCharType="separate"/>
      </w:r>
      <w:r>
        <w:rPr>
          <w:rStyle w:val="41"/>
          <w:szCs w:val="21"/>
        </w:rPr>
        <w:t>6 实施与监督</w:t>
      </w:r>
      <w:r>
        <w:rPr>
          <w:rFonts w:ascii="Times New Roman"/>
          <w:szCs w:val="21"/>
        </w:rPr>
        <w:tab/>
      </w:r>
      <w:r>
        <w:rPr>
          <w:rFonts w:hint="eastAsia" w:ascii="Times New Roman"/>
          <w:szCs w:val="21"/>
        </w:rPr>
        <w:t>5</w:t>
      </w:r>
      <w:r>
        <w:rPr>
          <w:rFonts w:hint="eastAsia" w:ascii="Times New Roman"/>
          <w:szCs w:val="21"/>
        </w:rPr>
        <w:fldChar w:fldCharType="end"/>
      </w:r>
    </w:p>
    <w:p>
      <w:pPr>
        <w:pStyle w:val="2"/>
        <w:spacing w:before="312" w:after="312"/>
        <w:jc w:val="center"/>
        <w:rPr>
          <w:sz w:val="32"/>
          <w:szCs w:val="32"/>
        </w:rPr>
      </w:pPr>
      <w:r>
        <w:rPr>
          <w:rFonts w:ascii="Times New Roman" w:eastAsia="宋体"/>
          <w:szCs w:val="21"/>
        </w:rPr>
        <w:fldChar w:fldCharType="end"/>
      </w:r>
      <w:r>
        <w:br w:type="page"/>
      </w:r>
      <w:bookmarkStart w:id="1" w:name="_Toc447722477"/>
      <w:r>
        <w:rPr>
          <w:rFonts w:hint="eastAsia"/>
          <w:sz w:val="32"/>
          <w:szCs w:val="32"/>
        </w:rPr>
        <w:t>前    言</w:t>
      </w:r>
      <w:bookmarkEnd w:id="1"/>
    </w:p>
    <w:p>
      <w:pPr>
        <w:pStyle w:val="57"/>
        <w:ind w:firstLine="420"/>
        <w:rPr>
          <w:rFonts w:hAnsi="宋体"/>
        </w:rPr>
      </w:pPr>
      <w:r>
        <w:rPr>
          <w:rFonts w:hint="eastAsia" w:hAnsi="宋体"/>
        </w:rPr>
        <w:t>为贯彻《中华人民共和国环境保护法》、《中华人民共和国大气污染防治法》等法律法规，保护环境，防治污染，促进玻璃工业技术进步，制定本标准。</w:t>
      </w:r>
    </w:p>
    <w:p>
      <w:pPr>
        <w:pStyle w:val="57"/>
        <w:ind w:firstLine="420"/>
        <w:rPr>
          <w:rFonts w:hAnsi="宋体"/>
        </w:rPr>
      </w:pPr>
      <w:r>
        <w:rPr>
          <w:rFonts w:hint="eastAsia" w:hAnsi="宋体"/>
        </w:rPr>
        <w:t>本标准为首次发布。</w:t>
      </w:r>
    </w:p>
    <w:p>
      <w:pPr>
        <w:pStyle w:val="57"/>
        <w:ind w:firstLine="420"/>
        <w:rPr>
          <w:rFonts w:hAnsi="宋体"/>
        </w:rPr>
      </w:pPr>
      <w:r>
        <w:rPr>
          <w:rFonts w:hint="eastAsia" w:hAnsi="宋体"/>
        </w:rPr>
        <w:t>本标准依据标准化工作导则</w:t>
      </w:r>
      <w:r>
        <w:rPr>
          <w:rFonts w:hAnsi="宋体"/>
        </w:rPr>
        <w:t>GB</w:t>
      </w:r>
      <w:r>
        <w:rPr>
          <w:rFonts w:hint="eastAsia" w:hAnsi="宋体"/>
        </w:rPr>
        <w:t>/</w:t>
      </w:r>
      <w:r>
        <w:rPr>
          <w:rFonts w:hAnsi="宋体"/>
        </w:rPr>
        <w:t>T</w:t>
      </w:r>
      <w:r>
        <w:rPr>
          <w:rFonts w:hint="eastAsia" w:hAnsi="宋体"/>
        </w:rPr>
        <w:t xml:space="preserve"> </w:t>
      </w:r>
      <w:r>
        <w:rPr>
          <w:rFonts w:hAnsi="宋体"/>
        </w:rPr>
        <w:t>1.1-2009</w:t>
      </w:r>
      <w:r>
        <w:rPr>
          <w:rFonts w:hint="eastAsia" w:hAnsi="宋体"/>
        </w:rPr>
        <w:t>规则</w:t>
      </w:r>
      <w:r>
        <w:rPr>
          <w:rFonts w:hAnsi="宋体"/>
        </w:rPr>
        <w:t>进行起草。</w:t>
      </w:r>
    </w:p>
    <w:p>
      <w:pPr>
        <w:pStyle w:val="57"/>
        <w:ind w:firstLine="420"/>
        <w:rPr>
          <w:rFonts w:hAnsi="宋体"/>
        </w:rPr>
      </w:pPr>
      <w:r>
        <w:rPr>
          <w:rFonts w:hint="eastAsia" w:hAnsi="宋体"/>
        </w:rPr>
        <w:t>本标准的全部技术内容为强制性。</w:t>
      </w:r>
    </w:p>
    <w:p>
      <w:pPr>
        <w:pStyle w:val="57"/>
        <w:ind w:firstLine="420"/>
        <w:rPr>
          <w:rFonts w:hAnsi="宋体"/>
        </w:rPr>
      </w:pPr>
      <w:r>
        <w:rPr>
          <w:rFonts w:hint="eastAsia" w:hAnsi="宋体"/>
        </w:rPr>
        <w:t>本标准</w:t>
      </w:r>
      <w:r>
        <w:rPr>
          <w:rFonts w:hAnsi="宋体"/>
        </w:rPr>
        <w:t>由</w:t>
      </w:r>
      <w:r>
        <w:rPr>
          <w:rFonts w:hint="eastAsia" w:hAnsi="宋体"/>
        </w:rPr>
        <w:t>广东省生态环境厅</w:t>
      </w:r>
      <w:r>
        <w:rPr>
          <w:rFonts w:hAnsi="宋体"/>
        </w:rPr>
        <w:t>提出并归口</w:t>
      </w:r>
      <w:r>
        <w:rPr>
          <w:rFonts w:hint="eastAsia" w:hAnsi="宋体"/>
        </w:rPr>
        <w:t>。</w:t>
      </w:r>
    </w:p>
    <w:p>
      <w:pPr>
        <w:pStyle w:val="57"/>
        <w:ind w:firstLine="420"/>
        <w:rPr>
          <w:rFonts w:hAnsi="宋体"/>
        </w:rPr>
      </w:pPr>
      <w:r>
        <w:rPr>
          <w:rFonts w:hint="eastAsia" w:hAnsi="宋体"/>
        </w:rPr>
        <w:t>本标准</w:t>
      </w:r>
      <w:r>
        <w:rPr>
          <w:rFonts w:hAnsi="宋体"/>
        </w:rPr>
        <w:t>主要起草单位：</w:t>
      </w:r>
      <w:r>
        <w:rPr>
          <w:rFonts w:hint="eastAsia" w:hAnsi="宋体"/>
        </w:rPr>
        <w:t>环境保护部</w:t>
      </w:r>
      <w:r>
        <w:rPr>
          <w:rFonts w:hAnsi="宋体"/>
        </w:rPr>
        <w:t>华南环境科学研究所</w:t>
      </w:r>
      <w:r>
        <w:rPr>
          <w:rFonts w:hint="eastAsia" w:hAnsi="宋体"/>
        </w:rPr>
        <w:t>、广东省玻璃行业协会。</w:t>
      </w:r>
    </w:p>
    <w:p>
      <w:pPr>
        <w:pStyle w:val="57"/>
        <w:ind w:firstLine="420"/>
        <w:rPr>
          <w:rFonts w:hAnsi="宋体"/>
        </w:rPr>
      </w:pPr>
      <w:r>
        <w:rPr>
          <w:rFonts w:hint="eastAsia" w:hAnsi="宋体"/>
        </w:rPr>
        <w:t>本标准参与</w:t>
      </w:r>
      <w:r>
        <w:rPr>
          <w:rFonts w:hAnsi="宋体"/>
        </w:rPr>
        <w:t>起草单位：</w:t>
      </w:r>
      <w:r>
        <w:rPr>
          <w:rFonts w:hint="eastAsia" w:hAnsi="宋体"/>
        </w:rPr>
        <w:t>中国南玻集团股份有限公司、信义集团（玻璃）有限公司、旗滨集团、广东青创环境检测有限公司等。</w:t>
      </w:r>
    </w:p>
    <w:p>
      <w:pPr>
        <w:pStyle w:val="57"/>
        <w:ind w:firstLine="420"/>
        <w:rPr>
          <w:rFonts w:hAnsi="宋体"/>
        </w:rPr>
      </w:pPr>
      <w:r>
        <w:rPr>
          <w:rFonts w:hint="eastAsia" w:hAnsi="宋体"/>
        </w:rPr>
        <w:t>本标准主要</w:t>
      </w:r>
      <w:r>
        <w:rPr>
          <w:rFonts w:hAnsi="宋体"/>
        </w:rPr>
        <w:t>起草人</w:t>
      </w:r>
      <w:r>
        <w:rPr>
          <w:rFonts w:hint="eastAsia" w:hAnsi="宋体"/>
        </w:rPr>
        <w:t>：丘锦荣、黄少塔、方平、陈林、高强、吴文成、蔡倩怡、</w:t>
      </w:r>
      <w:r>
        <w:fldChar w:fldCharType="begin"/>
      </w:r>
      <w:r>
        <w:instrText xml:space="preserve"> HYPERLINK "javascript:view('5c9d09e8-0155-1000-e002-5303a9fe5f78',%20'system')" </w:instrText>
      </w:r>
      <w:r>
        <w:fldChar w:fldCharType="separate"/>
      </w:r>
      <w:r>
        <w:rPr>
          <w:rStyle w:val="41"/>
        </w:rPr>
        <w:t>吴颖欣</w:t>
      </w:r>
      <w:r>
        <w:rPr>
          <w:rStyle w:val="41"/>
        </w:rPr>
        <w:fldChar w:fldCharType="end"/>
      </w:r>
      <w:r>
        <w:rPr>
          <w:color w:val="666666"/>
        </w:rPr>
        <w:t> </w:t>
      </w:r>
      <w:r>
        <w:rPr>
          <w:rFonts w:hint="eastAsia"/>
          <w:color w:val="666666"/>
        </w:rPr>
        <w:t>、</w:t>
      </w:r>
      <w:r>
        <w:rPr>
          <w:rFonts w:hint="eastAsia" w:hAnsi="宋体"/>
        </w:rPr>
        <w:t>任明忠、陈志航、郑晶、梁文钟、骆其金、夏迪、涂光招、高剑锋</w:t>
      </w:r>
      <w:r>
        <w:rPr>
          <w:rFonts w:hint="eastAsia" w:hAnsi="宋体"/>
          <w:lang w:eastAsia="zh-CN"/>
        </w:rPr>
        <w:t>、谢小晶</w:t>
      </w:r>
      <w:r>
        <w:rPr>
          <w:rFonts w:hint="eastAsia" w:hAnsi="宋体"/>
        </w:rPr>
        <w:t>等。</w:t>
      </w:r>
    </w:p>
    <w:p>
      <w:pPr>
        <w:pStyle w:val="57"/>
        <w:ind w:firstLine="405" w:firstLineChars="193"/>
        <w:rPr>
          <w:rFonts w:hAnsi="宋体"/>
        </w:rPr>
      </w:pPr>
      <w:r>
        <w:rPr>
          <w:rFonts w:hint="eastAsia" w:hAnsi="宋体"/>
        </w:rPr>
        <w:t>本标准由广东省人民政府2</w:t>
      </w:r>
      <w:r>
        <w:rPr>
          <w:rFonts w:hAnsi="宋体"/>
        </w:rPr>
        <w:t>01</w:t>
      </w:r>
      <w:r>
        <w:rPr>
          <w:rFonts w:hint="eastAsia" w:hAnsi="宋体"/>
        </w:rPr>
        <w:t>x年</w:t>
      </w:r>
      <w:r>
        <w:rPr>
          <w:rFonts w:hAnsi="宋体"/>
        </w:rPr>
        <w:t>xx月xx日</w:t>
      </w:r>
      <w:r>
        <w:rPr>
          <w:rFonts w:hint="eastAsia" w:hAnsi="宋体"/>
        </w:rPr>
        <w:t>批准。</w:t>
      </w:r>
    </w:p>
    <w:p>
      <w:pPr>
        <w:pStyle w:val="57"/>
        <w:ind w:firstLine="420"/>
        <w:rPr>
          <w:rFonts w:hAnsi="宋体"/>
        </w:rPr>
      </w:pPr>
      <w:r>
        <w:rPr>
          <w:rFonts w:hint="eastAsia" w:hAnsi="宋体"/>
        </w:rPr>
        <w:t>本标准于201x年</w:t>
      </w:r>
      <w:r>
        <w:rPr>
          <w:rFonts w:hAnsi="宋体"/>
        </w:rPr>
        <w:t>xx月xx日</w:t>
      </w:r>
      <w:r>
        <w:rPr>
          <w:rFonts w:hint="eastAsia" w:hAnsi="宋体"/>
        </w:rPr>
        <w:t>首次发布，自xxxx年x月x日实施。</w:t>
      </w:r>
    </w:p>
    <w:p>
      <w:pPr>
        <w:pStyle w:val="57"/>
        <w:ind w:firstLine="420"/>
        <w:rPr>
          <w:rFonts w:hAnsi="宋体"/>
        </w:rPr>
      </w:pPr>
      <w:r>
        <w:rPr>
          <w:rFonts w:hint="eastAsia" w:hAnsi="宋体"/>
        </w:rPr>
        <w:t>本标准由广东省生态环境厅解释。</w:t>
      </w:r>
    </w:p>
    <w:p>
      <w:pPr>
        <w:pStyle w:val="57"/>
        <w:ind w:firstLine="422"/>
        <w:rPr>
          <w:b/>
        </w:rPr>
        <w:sectPr>
          <w:headerReference r:id="rId6" w:type="default"/>
          <w:footerReference r:id="rId7" w:type="default"/>
          <w:pgSz w:w="11907" w:h="16839"/>
          <w:pgMar w:top="1440" w:right="1800" w:bottom="1440" w:left="1800" w:header="1418" w:footer="737" w:gutter="0"/>
          <w:pgNumType w:fmt="upperRoman" w:start="1"/>
          <w:cols w:space="720" w:num="1"/>
          <w:docGrid w:type="lines" w:linePitch="312" w:charSpace="0"/>
        </w:sectPr>
      </w:pPr>
    </w:p>
    <w:p>
      <w:pPr>
        <w:pStyle w:val="76"/>
        <w:rPr>
          <w:b/>
        </w:rPr>
      </w:pPr>
      <w:r>
        <w:rPr>
          <w:rFonts w:hint="eastAsia"/>
          <w:b/>
        </w:rPr>
        <w:t>玻璃工业大气污染物排放标准</w:t>
      </w:r>
    </w:p>
    <w:p>
      <w:pPr>
        <w:pStyle w:val="2"/>
        <w:spacing w:before="312" w:after="312"/>
      </w:pPr>
      <w:bookmarkStart w:id="2" w:name="_Toc447722478"/>
      <w:r>
        <w:t xml:space="preserve">1 </w:t>
      </w:r>
      <w:r>
        <w:rPr>
          <w:rFonts w:hint="eastAsia"/>
        </w:rPr>
        <w:t>适用范围</w:t>
      </w:r>
      <w:bookmarkEnd w:id="2"/>
    </w:p>
    <w:p>
      <w:pPr>
        <w:adjustRightInd w:val="0"/>
        <w:ind w:firstLine="420" w:firstLineChars="200"/>
        <w:outlineLvl w:val="0"/>
        <w:rPr>
          <w:rFonts w:ascii="宋体"/>
          <w:color w:val="000000" w:themeColor="text1"/>
          <w:kern w:val="0"/>
          <w:szCs w:val="20"/>
          <w14:textFill>
            <w14:solidFill>
              <w14:schemeClr w14:val="tx1"/>
            </w14:solidFill>
          </w14:textFill>
        </w:rPr>
      </w:pPr>
      <w:bookmarkStart w:id="3" w:name="_Toc447722479"/>
      <w:r>
        <w:rPr>
          <w:rFonts w:hint="eastAsia" w:ascii="宋体"/>
          <w:color w:val="000000" w:themeColor="text1"/>
          <w:kern w:val="0"/>
          <w:szCs w:val="20"/>
          <w14:textFill>
            <w14:solidFill>
              <w14:schemeClr w14:val="tx1"/>
            </w14:solidFill>
          </w14:textFill>
        </w:rPr>
        <w:t>本标准规定了玻璃制造企业或生产设施的大气污染物中颗粒物、二氧化硫、氮氧化物的排放限值、监测和监控要求，以及标准实施与监督等相关规定。</w:t>
      </w:r>
    </w:p>
    <w:p>
      <w:pPr>
        <w:adjustRightInd w:val="0"/>
        <w:ind w:firstLine="420" w:firstLineChars="200"/>
        <w:outlineLvl w:val="0"/>
        <w:rPr>
          <w:rFonts w:ascii="宋体"/>
          <w:color w:val="000000" w:themeColor="text1"/>
          <w:kern w:val="0"/>
          <w:szCs w:val="20"/>
          <w14:textFill>
            <w14:solidFill>
              <w14:schemeClr w14:val="tx1"/>
            </w14:solidFill>
          </w14:textFill>
        </w:rPr>
      </w:pPr>
      <w:r>
        <w:rPr>
          <w:rFonts w:hint="eastAsia" w:ascii="宋体"/>
          <w:color w:val="000000" w:themeColor="text1"/>
          <w:kern w:val="0"/>
          <w:szCs w:val="20"/>
          <w14:textFill>
            <w14:solidFill>
              <w14:schemeClr w14:val="tx1"/>
            </w14:solidFill>
          </w14:textFill>
        </w:rPr>
        <w:t>本标准适用于现有玻璃制造企业或生产设施的大气污染物中颗粒物、二氧化硫、氮氧化物的排放管理。</w:t>
      </w:r>
    </w:p>
    <w:p>
      <w:pPr>
        <w:adjustRightInd w:val="0"/>
        <w:ind w:firstLine="420" w:firstLineChars="200"/>
        <w:outlineLvl w:val="0"/>
        <w:rPr>
          <w:rFonts w:ascii="宋体"/>
          <w:color w:val="000000" w:themeColor="text1"/>
          <w:kern w:val="0"/>
          <w:szCs w:val="20"/>
          <w14:textFill>
            <w14:solidFill>
              <w14:schemeClr w14:val="tx1"/>
            </w14:solidFill>
          </w14:textFill>
        </w:rPr>
      </w:pPr>
      <w:r>
        <w:rPr>
          <w:rFonts w:hint="eastAsia" w:ascii="宋体"/>
          <w:color w:val="000000" w:themeColor="text1"/>
          <w:kern w:val="0"/>
          <w:szCs w:val="20"/>
          <w14:textFill>
            <w14:solidFill>
              <w14:schemeClr w14:val="tx1"/>
            </w14:solidFill>
          </w14:textFill>
        </w:rPr>
        <w:t xml:space="preserve">本标准适用于对玻璃工业建设项目的环境影响评价、环境保护设施设计、竣工环境保护验收及其投产后的大气污染物中颗粒物、二氧化硫、氮氧化物的排放管理。 </w:t>
      </w:r>
    </w:p>
    <w:p>
      <w:pPr>
        <w:pStyle w:val="57"/>
        <w:ind w:firstLine="420"/>
        <w:rPr>
          <w:rFonts w:ascii="Times New Roman"/>
          <w:kern w:val="2"/>
          <w:szCs w:val="21"/>
        </w:rPr>
      </w:pPr>
      <w:r>
        <w:rPr>
          <w:rFonts w:hint="eastAsia" w:ascii="Times New Roman"/>
          <w:kern w:val="2"/>
          <w:szCs w:val="21"/>
        </w:rPr>
        <w:t>本标准中未规定的内容和要求，仍按</w:t>
      </w:r>
      <w:r>
        <w:rPr>
          <w:rFonts w:hint="eastAsia" w:hAnsi="宋体"/>
          <w:szCs w:val="21"/>
        </w:rPr>
        <w:t>现行</w:t>
      </w:r>
      <w:r>
        <w:rPr>
          <w:rFonts w:hAnsi="宋体"/>
          <w:szCs w:val="21"/>
        </w:rPr>
        <w:t>GB 26453</w:t>
      </w:r>
      <w:r>
        <w:rPr>
          <w:rFonts w:hint="eastAsia" w:hAnsi="宋体"/>
          <w:szCs w:val="21"/>
        </w:rPr>
        <w:t>、G</w:t>
      </w:r>
      <w:r>
        <w:rPr>
          <w:rFonts w:hAnsi="宋体"/>
          <w:szCs w:val="21"/>
        </w:rPr>
        <w:t>B 29495</w:t>
      </w:r>
      <w:r>
        <w:rPr>
          <w:rFonts w:hint="eastAsia" w:hAnsi="宋体"/>
          <w:szCs w:val="21"/>
        </w:rPr>
        <w:t>执行</w:t>
      </w:r>
      <w:r>
        <w:rPr>
          <w:rFonts w:hint="eastAsia" w:ascii="Times New Roman"/>
          <w:kern w:val="2"/>
          <w:szCs w:val="21"/>
        </w:rPr>
        <w:t>。</w:t>
      </w:r>
    </w:p>
    <w:p>
      <w:pPr>
        <w:pStyle w:val="2"/>
        <w:spacing w:before="312" w:after="312"/>
      </w:pPr>
      <w:r>
        <w:t xml:space="preserve">2 </w:t>
      </w:r>
      <w:r>
        <w:rPr>
          <w:rFonts w:hint="eastAsia"/>
        </w:rPr>
        <w:t>规范性引用文件</w:t>
      </w:r>
      <w:bookmarkEnd w:id="3"/>
    </w:p>
    <w:p>
      <w:pPr>
        <w:pStyle w:val="57"/>
        <w:ind w:firstLine="420"/>
        <w:rPr>
          <w:rFonts w:ascii="Times New Roman"/>
        </w:rPr>
      </w:pPr>
      <w:r>
        <w:rPr>
          <w:rFonts w:hint="eastAsia" w:ascii="Times New Roman"/>
        </w:rPr>
        <w:t>本标准内容引用了下列文件或其中的条款。凡是未注明日期的引用文件，其最新版本适用于本标准。</w:t>
      </w:r>
    </w:p>
    <w:tbl>
      <w:tblPr>
        <w:tblStyle w:val="120"/>
        <w:tblW w:w="9288" w:type="dxa"/>
        <w:tblInd w:w="337" w:type="dxa"/>
        <w:tblLayout w:type="fixed"/>
        <w:tblCellMar>
          <w:top w:w="0" w:type="dxa"/>
          <w:left w:w="0" w:type="dxa"/>
          <w:bottom w:w="0" w:type="dxa"/>
          <w:right w:w="0" w:type="dxa"/>
        </w:tblCellMar>
      </w:tblPr>
      <w:tblGrid>
        <w:gridCol w:w="1511"/>
        <w:gridCol w:w="6675"/>
        <w:gridCol w:w="1102"/>
      </w:tblGrid>
      <w:tr>
        <w:tblPrEx>
          <w:tblLayout w:type="fixed"/>
        </w:tblPrEx>
        <w:trPr>
          <w:gridAfter w:val="1"/>
          <w:wAfter w:w="1102" w:type="dxa"/>
        </w:trPr>
        <w:tc>
          <w:tcPr>
            <w:tcW w:w="1511" w:type="dxa"/>
          </w:tcPr>
          <w:p>
            <w:pPr>
              <w:adjustRightInd w:val="0"/>
              <w:ind w:firstLine="420" w:firstLineChars="200"/>
              <w:outlineLvl w:val="0"/>
              <w:rPr>
                <w:rFonts w:ascii="宋体" w:hAnsi="Times New Roman" w:eastAsia="宋体" w:cs="Times New Roman"/>
                <w:color w:val="000000" w:themeColor="text1"/>
                <w:kern w:val="0"/>
                <w:szCs w:val="20"/>
                <w:lang w:eastAsia="zh-CN"/>
                <w14:textFill>
                  <w14:solidFill>
                    <w14:schemeClr w14:val="tx1"/>
                  </w14:solidFill>
                </w14:textFill>
              </w:rPr>
            </w:pPr>
            <w:r>
              <w:rPr>
                <w:rFonts w:hint="eastAsia" w:ascii="宋体" w:hAnsi="Times New Roman" w:eastAsia="宋体" w:cs="Times New Roman"/>
                <w:color w:val="000000" w:themeColor="text1"/>
                <w:kern w:val="0"/>
                <w:szCs w:val="20"/>
                <w:lang w:eastAsia="zh-CN"/>
                <w14:textFill>
                  <w14:solidFill>
                    <w14:schemeClr w14:val="tx1"/>
                  </w14:solidFill>
                </w14:textFill>
              </w:rPr>
              <w:t>GB 26453</w:t>
            </w:r>
          </w:p>
        </w:tc>
        <w:tc>
          <w:tcPr>
            <w:tcW w:w="6675" w:type="dxa"/>
          </w:tcPr>
          <w:p>
            <w:pPr>
              <w:adjustRightInd w:val="0"/>
              <w:ind w:firstLine="420" w:firstLineChars="200"/>
              <w:outlineLvl w:val="0"/>
              <w:rPr>
                <w:rFonts w:ascii="宋体" w:hAnsi="Times New Roman" w:eastAsia="宋体" w:cs="Times New Roman"/>
                <w:color w:val="000000" w:themeColor="text1"/>
                <w:kern w:val="0"/>
                <w:szCs w:val="20"/>
                <w:lang w:eastAsia="zh-CN"/>
                <w14:textFill>
                  <w14:solidFill>
                    <w14:schemeClr w14:val="tx1"/>
                  </w14:solidFill>
                </w14:textFill>
              </w:rPr>
            </w:pPr>
            <w:r>
              <w:rPr>
                <w:rFonts w:hint="eastAsia" w:ascii="宋体" w:hAnsi="Times New Roman" w:eastAsia="宋体" w:cs="Times New Roman"/>
                <w:color w:val="000000" w:themeColor="text1"/>
                <w:kern w:val="0"/>
                <w:szCs w:val="20"/>
                <w:lang w:eastAsia="zh-CN"/>
                <w14:textFill>
                  <w14:solidFill>
                    <w14:schemeClr w14:val="tx1"/>
                  </w14:solidFill>
                </w14:textFill>
              </w:rPr>
              <w:t>平板玻璃工业大气污染物排放标准</w:t>
            </w:r>
          </w:p>
        </w:tc>
      </w:tr>
      <w:tr>
        <w:tblPrEx>
          <w:tblLayout w:type="fixed"/>
        </w:tblPrEx>
        <w:trPr>
          <w:gridAfter w:val="1"/>
          <w:wAfter w:w="1102" w:type="dxa"/>
        </w:trPr>
        <w:tc>
          <w:tcPr>
            <w:tcW w:w="1511" w:type="dxa"/>
          </w:tcPr>
          <w:p>
            <w:pPr>
              <w:adjustRightInd w:val="0"/>
              <w:ind w:firstLine="420" w:firstLineChars="200"/>
              <w:outlineLvl w:val="0"/>
              <w:rPr>
                <w:rFonts w:ascii="宋体" w:hAnsi="Times New Roman" w:eastAsia="宋体" w:cs="Times New Roman"/>
                <w:color w:val="000000" w:themeColor="text1"/>
                <w:kern w:val="0"/>
                <w:szCs w:val="20"/>
                <w:lang w:eastAsia="zh-CN"/>
                <w14:textFill>
                  <w14:solidFill>
                    <w14:schemeClr w14:val="tx1"/>
                  </w14:solidFill>
                </w14:textFill>
              </w:rPr>
            </w:pPr>
            <w:r>
              <w:rPr>
                <w:rFonts w:hint="eastAsia" w:ascii="宋体" w:hAnsi="Times New Roman" w:eastAsia="宋体" w:cs="Times New Roman"/>
                <w:color w:val="000000" w:themeColor="text1"/>
                <w:kern w:val="0"/>
                <w:szCs w:val="20"/>
                <w:lang w:eastAsia="zh-CN"/>
                <w14:textFill>
                  <w14:solidFill>
                    <w14:schemeClr w14:val="tx1"/>
                  </w14:solidFill>
                </w14:textFill>
              </w:rPr>
              <w:t>GB 29495</w:t>
            </w:r>
          </w:p>
        </w:tc>
        <w:tc>
          <w:tcPr>
            <w:tcW w:w="6675" w:type="dxa"/>
          </w:tcPr>
          <w:p>
            <w:pPr>
              <w:adjustRightInd w:val="0"/>
              <w:ind w:firstLine="420" w:firstLineChars="200"/>
              <w:outlineLvl w:val="0"/>
              <w:rPr>
                <w:rFonts w:ascii="宋体" w:hAnsi="Times New Roman" w:eastAsia="宋体" w:cs="Times New Roman"/>
                <w:color w:val="000000" w:themeColor="text1"/>
                <w:kern w:val="0"/>
                <w:szCs w:val="20"/>
                <w:lang w:eastAsia="zh-CN"/>
                <w14:textFill>
                  <w14:solidFill>
                    <w14:schemeClr w14:val="tx1"/>
                  </w14:solidFill>
                </w14:textFill>
              </w:rPr>
            </w:pPr>
            <w:r>
              <w:rPr>
                <w:rFonts w:hint="eastAsia" w:ascii="宋体" w:hAnsi="Times New Roman" w:eastAsia="宋体" w:cs="Times New Roman"/>
                <w:color w:val="000000" w:themeColor="text1"/>
                <w:kern w:val="0"/>
                <w:szCs w:val="20"/>
                <w:lang w:eastAsia="zh-CN"/>
                <w14:textFill>
                  <w14:solidFill>
                    <w14:schemeClr w14:val="tx1"/>
                  </w14:solidFill>
                </w14:textFill>
              </w:rPr>
              <w:t>电子玻璃工业大气污染物排放标准</w:t>
            </w:r>
          </w:p>
        </w:tc>
      </w:tr>
      <w:tr>
        <w:tblPrEx>
          <w:tblLayout w:type="fixed"/>
        </w:tblPrEx>
        <w:trPr>
          <w:gridAfter w:val="1"/>
          <w:wAfter w:w="1102" w:type="dxa"/>
        </w:trPr>
        <w:tc>
          <w:tcPr>
            <w:tcW w:w="1511" w:type="dxa"/>
          </w:tcPr>
          <w:p>
            <w:pPr>
              <w:adjustRightInd w:val="0"/>
              <w:ind w:firstLine="420" w:firstLineChars="200"/>
              <w:outlineLvl w:val="0"/>
              <w:rPr>
                <w:rFonts w:ascii="宋体" w:hAnsi="Times New Roman" w:eastAsia="宋体" w:cs="Times New Roman"/>
                <w:color w:val="000000" w:themeColor="text1"/>
                <w:kern w:val="0"/>
                <w:szCs w:val="20"/>
                <w:lang w:eastAsia="zh-CN"/>
                <w14:textFill>
                  <w14:solidFill>
                    <w14:schemeClr w14:val="tx1"/>
                  </w14:solidFill>
                </w14:textFill>
              </w:rPr>
            </w:pPr>
            <w:bookmarkStart w:id="4" w:name="_Toc447722480"/>
            <w:r>
              <w:rPr>
                <w:rFonts w:ascii="宋体" w:hAnsi="Times New Roman" w:eastAsia="宋体" w:cs="Times New Roman"/>
                <w:color w:val="000000" w:themeColor="text1"/>
                <w:kern w:val="0"/>
                <w:szCs w:val="20"/>
                <w:lang w:eastAsia="zh-CN"/>
                <w14:textFill>
                  <w14:solidFill>
                    <w14:schemeClr w14:val="tx1"/>
                  </w14:solidFill>
                </w14:textFill>
              </w:rPr>
              <w:t>GB/T 15432</w:t>
            </w:r>
          </w:p>
        </w:tc>
        <w:tc>
          <w:tcPr>
            <w:tcW w:w="6675" w:type="dxa"/>
          </w:tcPr>
          <w:p>
            <w:pPr>
              <w:adjustRightInd w:val="0"/>
              <w:ind w:firstLine="420" w:firstLineChars="200"/>
              <w:outlineLvl w:val="0"/>
              <w:rPr>
                <w:rFonts w:ascii="宋体" w:hAnsi="Times New Roman" w:eastAsia="宋体" w:cs="Times New Roman"/>
                <w:color w:val="000000" w:themeColor="text1"/>
                <w:kern w:val="0"/>
                <w:szCs w:val="20"/>
                <w:lang w:eastAsia="zh-CN"/>
                <w14:textFill>
                  <w14:solidFill>
                    <w14:schemeClr w14:val="tx1"/>
                  </w14:solidFill>
                </w14:textFill>
              </w:rPr>
            </w:pPr>
            <w:r>
              <w:rPr>
                <w:rFonts w:ascii="宋体" w:hAnsi="Times New Roman" w:eastAsia="宋体" w:cs="Times New Roman"/>
                <w:color w:val="000000" w:themeColor="text1"/>
                <w:kern w:val="0"/>
                <w:szCs w:val="20"/>
                <w:lang w:eastAsia="zh-CN"/>
                <w14:textFill>
                  <w14:solidFill>
                    <w14:schemeClr w14:val="tx1"/>
                  </w14:solidFill>
                </w14:textFill>
              </w:rPr>
              <w:t>环境空气 总悬浮颗粒物的测定 重量法</w:t>
            </w:r>
          </w:p>
        </w:tc>
      </w:tr>
      <w:tr>
        <w:tblPrEx>
          <w:tblLayout w:type="fixed"/>
        </w:tblPrEx>
        <w:trPr>
          <w:gridAfter w:val="1"/>
          <w:wAfter w:w="1102" w:type="dxa"/>
        </w:trPr>
        <w:tc>
          <w:tcPr>
            <w:tcW w:w="1511" w:type="dxa"/>
          </w:tcPr>
          <w:p>
            <w:pPr>
              <w:adjustRightInd w:val="0"/>
              <w:ind w:firstLine="420" w:firstLineChars="200"/>
              <w:outlineLvl w:val="0"/>
              <w:rPr>
                <w:rFonts w:ascii="宋体" w:hAnsi="Times New Roman" w:eastAsia="宋体" w:cs="Times New Roman"/>
                <w:color w:val="000000" w:themeColor="text1"/>
                <w:kern w:val="0"/>
                <w:szCs w:val="20"/>
                <w:lang w:eastAsia="zh-CN"/>
                <w14:textFill>
                  <w14:solidFill>
                    <w14:schemeClr w14:val="tx1"/>
                  </w14:solidFill>
                </w14:textFill>
              </w:rPr>
            </w:pPr>
            <w:r>
              <w:rPr>
                <w:rFonts w:ascii="宋体" w:hAnsi="Times New Roman" w:eastAsia="宋体" w:cs="Times New Roman"/>
                <w:color w:val="000000" w:themeColor="text1"/>
                <w:kern w:val="0"/>
                <w:szCs w:val="20"/>
                <w:lang w:eastAsia="zh-CN"/>
                <w14:textFill>
                  <w14:solidFill>
                    <w14:schemeClr w14:val="tx1"/>
                  </w14:solidFill>
                </w14:textFill>
              </w:rPr>
              <w:t>GB/T 16157</w:t>
            </w:r>
          </w:p>
        </w:tc>
        <w:tc>
          <w:tcPr>
            <w:tcW w:w="6675" w:type="dxa"/>
          </w:tcPr>
          <w:p>
            <w:pPr>
              <w:adjustRightInd w:val="0"/>
              <w:ind w:firstLine="420" w:firstLineChars="200"/>
              <w:outlineLvl w:val="0"/>
              <w:rPr>
                <w:rFonts w:ascii="宋体" w:hAnsi="Times New Roman" w:eastAsia="宋体" w:cs="Times New Roman"/>
                <w:color w:val="000000" w:themeColor="text1"/>
                <w:kern w:val="0"/>
                <w:szCs w:val="20"/>
                <w:lang w:eastAsia="zh-CN"/>
                <w14:textFill>
                  <w14:solidFill>
                    <w14:schemeClr w14:val="tx1"/>
                  </w14:solidFill>
                </w14:textFill>
              </w:rPr>
            </w:pPr>
            <w:r>
              <w:rPr>
                <w:rFonts w:ascii="宋体" w:hAnsi="Times New Roman" w:eastAsia="宋体" w:cs="Times New Roman"/>
                <w:color w:val="000000" w:themeColor="text1"/>
                <w:kern w:val="0"/>
                <w:szCs w:val="20"/>
                <w:lang w:eastAsia="zh-CN"/>
                <w14:textFill>
                  <w14:solidFill>
                    <w14:schemeClr w14:val="tx1"/>
                  </w14:solidFill>
                </w14:textFill>
              </w:rPr>
              <w:t>固定污染源排气中颗粒物测定与气态污染物采样方法</w:t>
            </w:r>
          </w:p>
        </w:tc>
      </w:tr>
      <w:tr>
        <w:tblPrEx>
          <w:tblLayout w:type="fixed"/>
        </w:tblPrEx>
        <w:trPr>
          <w:gridAfter w:val="1"/>
          <w:wAfter w:w="1102" w:type="dxa"/>
        </w:trPr>
        <w:tc>
          <w:tcPr>
            <w:tcW w:w="1511" w:type="dxa"/>
          </w:tcPr>
          <w:p>
            <w:pPr>
              <w:adjustRightInd w:val="0"/>
              <w:ind w:firstLine="420" w:firstLineChars="200"/>
              <w:outlineLvl w:val="0"/>
              <w:rPr>
                <w:rFonts w:ascii="宋体" w:hAnsi="Times New Roman" w:eastAsia="宋体" w:cs="Times New Roman"/>
                <w:color w:val="000000" w:themeColor="text1"/>
                <w:kern w:val="0"/>
                <w:szCs w:val="20"/>
                <w:lang w:eastAsia="zh-CN"/>
                <w14:textFill>
                  <w14:solidFill>
                    <w14:schemeClr w14:val="tx1"/>
                  </w14:solidFill>
                </w14:textFill>
              </w:rPr>
            </w:pPr>
            <w:r>
              <w:rPr>
                <w:rFonts w:ascii="宋体" w:hAnsi="Times New Roman" w:eastAsia="宋体" w:cs="Times New Roman"/>
                <w:color w:val="000000" w:themeColor="text1"/>
                <w:kern w:val="0"/>
                <w:szCs w:val="20"/>
                <w:lang w:eastAsia="zh-CN"/>
                <w14:textFill>
                  <w14:solidFill>
                    <w14:schemeClr w14:val="tx1"/>
                  </w14:solidFill>
                </w14:textFill>
              </w:rPr>
              <w:t>HJ/T 42</w:t>
            </w:r>
          </w:p>
        </w:tc>
        <w:tc>
          <w:tcPr>
            <w:tcW w:w="6675" w:type="dxa"/>
          </w:tcPr>
          <w:p>
            <w:pPr>
              <w:adjustRightInd w:val="0"/>
              <w:ind w:firstLine="420" w:firstLineChars="200"/>
              <w:outlineLvl w:val="0"/>
              <w:rPr>
                <w:rFonts w:ascii="宋体" w:hAnsi="Times New Roman" w:eastAsia="宋体" w:cs="Times New Roman"/>
                <w:color w:val="000000" w:themeColor="text1"/>
                <w:kern w:val="0"/>
                <w:szCs w:val="20"/>
                <w:lang w:eastAsia="zh-CN"/>
                <w14:textFill>
                  <w14:solidFill>
                    <w14:schemeClr w14:val="tx1"/>
                  </w14:solidFill>
                </w14:textFill>
              </w:rPr>
            </w:pPr>
            <w:r>
              <w:rPr>
                <w:rFonts w:ascii="宋体" w:hAnsi="Times New Roman" w:eastAsia="宋体" w:cs="Times New Roman"/>
                <w:color w:val="000000" w:themeColor="text1"/>
                <w:kern w:val="0"/>
                <w:szCs w:val="20"/>
                <w:lang w:eastAsia="zh-CN"/>
                <w14:textFill>
                  <w14:solidFill>
                    <w14:schemeClr w14:val="tx1"/>
                  </w14:solidFill>
                </w14:textFill>
              </w:rPr>
              <w:t>固定污染源排气中氮氧化物的测定 紫外分光光度法</w:t>
            </w:r>
          </w:p>
        </w:tc>
      </w:tr>
      <w:tr>
        <w:tblPrEx>
          <w:tblLayout w:type="fixed"/>
        </w:tblPrEx>
        <w:trPr>
          <w:gridAfter w:val="1"/>
          <w:wAfter w:w="1102" w:type="dxa"/>
        </w:trPr>
        <w:tc>
          <w:tcPr>
            <w:tcW w:w="1511" w:type="dxa"/>
          </w:tcPr>
          <w:p>
            <w:pPr>
              <w:adjustRightInd w:val="0"/>
              <w:ind w:firstLine="420" w:firstLineChars="200"/>
              <w:outlineLvl w:val="0"/>
              <w:rPr>
                <w:rFonts w:ascii="宋体" w:hAnsi="Times New Roman" w:eastAsia="宋体" w:cs="Times New Roman"/>
                <w:color w:val="000000" w:themeColor="text1"/>
                <w:kern w:val="0"/>
                <w:szCs w:val="20"/>
                <w:lang w:eastAsia="zh-CN"/>
                <w14:textFill>
                  <w14:solidFill>
                    <w14:schemeClr w14:val="tx1"/>
                  </w14:solidFill>
                </w14:textFill>
              </w:rPr>
            </w:pPr>
            <w:r>
              <w:rPr>
                <w:rFonts w:ascii="宋体" w:hAnsi="Times New Roman" w:eastAsia="宋体" w:cs="Times New Roman"/>
                <w:color w:val="000000" w:themeColor="text1"/>
                <w:kern w:val="0"/>
                <w:szCs w:val="20"/>
                <w:lang w:eastAsia="zh-CN"/>
                <w14:textFill>
                  <w14:solidFill>
                    <w14:schemeClr w14:val="tx1"/>
                  </w14:solidFill>
                </w14:textFill>
              </w:rPr>
              <w:t>HJ/T 43</w:t>
            </w:r>
          </w:p>
        </w:tc>
        <w:tc>
          <w:tcPr>
            <w:tcW w:w="6675" w:type="dxa"/>
          </w:tcPr>
          <w:p>
            <w:pPr>
              <w:adjustRightInd w:val="0"/>
              <w:ind w:firstLine="420" w:firstLineChars="200"/>
              <w:outlineLvl w:val="0"/>
              <w:rPr>
                <w:rFonts w:ascii="宋体" w:hAnsi="Times New Roman" w:eastAsia="宋体" w:cs="Times New Roman"/>
                <w:color w:val="000000" w:themeColor="text1"/>
                <w:kern w:val="0"/>
                <w:szCs w:val="20"/>
                <w:lang w:eastAsia="zh-CN"/>
                <w14:textFill>
                  <w14:solidFill>
                    <w14:schemeClr w14:val="tx1"/>
                  </w14:solidFill>
                </w14:textFill>
              </w:rPr>
            </w:pPr>
            <w:r>
              <w:rPr>
                <w:rFonts w:ascii="宋体" w:hAnsi="Times New Roman" w:eastAsia="宋体" w:cs="Times New Roman"/>
                <w:color w:val="000000" w:themeColor="text1"/>
                <w:kern w:val="0"/>
                <w:szCs w:val="20"/>
                <w:lang w:eastAsia="zh-CN"/>
                <w14:textFill>
                  <w14:solidFill>
                    <w14:schemeClr w14:val="tx1"/>
                  </w14:solidFill>
                </w14:textFill>
              </w:rPr>
              <w:t>固定污染源排气中氮氧化物的测定 盐酸萘乙二胺分光光度法</w:t>
            </w:r>
          </w:p>
        </w:tc>
      </w:tr>
      <w:tr>
        <w:tblPrEx>
          <w:tblLayout w:type="fixed"/>
        </w:tblPrEx>
        <w:trPr>
          <w:gridAfter w:val="1"/>
          <w:wAfter w:w="1102" w:type="dxa"/>
        </w:trPr>
        <w:tc>
          <w:tcPr>
            <w:tcW w:w="1511" w:type="dxa"/>
          </w:tcPr>
          <w:p>
            <w:pPr>
              <w:adjustRightInd w:val="0"/>
              <w:ind w:firstLine="420" w:firstLineChars="200"/>
              <w:outlineLvl w:val="0"/>
              <w:rPr>
                <w:rFonts w:ascii="宋体" w:hAnsi="Times New Roman" w:eastAsia="宋体" w:cs="Times New Roman"/>
                <w:color w:val="000000" w:themeColor="text1"/>
                <w:kern w:val="0"/>
                <w:szCs w:val="20"/>
                <w:lang w:eastAsia="zh-CN"/>
                <w14:textFill>
                  <w14:solidFill>
                    <w14:schemeClr w14:val="tx1"/>
                  </w14:solidFill>
                </w14:textFill>
              </w:rPr>
            </w:pPr>
            <w:r>
              <w:rPr>
                <w:rFonts w:ascii="宋体" w:hAnsi="Times New Roman" w:eastAsia="宋体" w:cs="Times New Roman"/>
                <w:color w:val="000000" w:themeColor="text1"/>
                <w:kern w:val="0"/>
                <w:szCs w:val="20"/>
                <w:lang w:eastAsia="zh-CN"/>
                <w14:textFill>
                  <w14:solidFill>
                    <w14:schemeClr w14:val="tx1"/>
                  </w14:solidFill>
                </w14:textFill>
              </w:rPr>
              <w:t>HJ/T 55</w:t>
            </w:r>
          </w:p>
        </w:tc>
        <w:tc>
          <w:tcPr>
            <w:tcW w:w="6675" w:type="dxa"/>
          </w:tcPr>
          <w:p>
            <w:pPr>
              <w:adjustRightInd w:val="0"/>
              <w:ind w:firstLine="420" w:firstLineChars="200"/>
              <w:outlineLvl w:val="0"/>
              <w:rPr>
                <w:rFonts w:ascii="宋体" w:hAnsi="Times New Roman" w:eastAsia="宋体" w:cs="Times New Roman"/>
                <w:color w:val="000000" w:themeColor="text1"/>
                <w:kern w:val="0"/>
                <w:szCs w:val="20"/>
                <w:lang w:eastAsia="zh-CN"/>
                <w14:textFill>
                  <w14:solidFill>
                    <w14:schemeClr w14:val="tx1"/>
                  </w14:solidFill>
                </w14:textFill>
              </w:rPr>
            </w:pPr>
            <w:r>
              <w:rPr>
                <w:rFonts w:ascii="宋体" w:hAnsi="Times New Roman" w:eastAsia="宋体" w:cs="Times New Roman"/>
                <w:color w:val="000000" w:themeColor="text1"/>
                <w:kern w:val="0"/>
                <w:szCs w:val="20"/>
                <w:lang w:eastAsia="zh-CN"/>
                <w14:textFill>
                  <w14:solidFill>
                    <w14:schemeClr w14:val="tx1"/>
                  </w14:solidFill>
                </w14:textFill>
              </w:rPr>
              <w:t>大气污染物无组织排放监测技术导则</w:t>
            </w:r>
          </w:p>
        </w:tc>
      </w:tr>
      <w:tr>
        <w:tblPrEx>
          <w:tblLayout w:type="fixed"/>
        </w:tblPrEx>
        <w:trPr>
          <w:gridAfter w:val="1"/>
          <w:wAfter w:w="1102" w:type="dxa"/>
        </w:trPr>
        <w:tc>
          <w:tcPr>
            <w:tcW w:w="1511" w:type="dxa"/>
          </w:tcPr>
          <w:p>
            <w:pPr>
              <w:adjustRightInd w:val="0"/>
              <w:ind w:firstLine="420" w:firstLineChars="200"/>
              <w:outlineLvl w:val="0"/>
              <w:rPr>
                <w:rFonts w:ascii="宋体" w:hAnsi="Times New Roman" w:eastAsia="宋体" w:cs="Times New Roman"/>
                <w:color w:val="000000" w:themeColor="text1"/>
                <w:kern w:val="0"/>
                <w:szCs w:val="20"/>
                <w:lang w:eastAsia="zh-CN"/>
                <w14:textFill>
                  <w14:solidFill>
                    <w14:schemeClr w14:val="tx1"/>
                  </w14:solidFill>
                </w14:textFill>
              </w:rPr>
            </w:pPr>
            <w:r>
              <w:rPr>
                <w:rFonts w:ascii="宋体" w:hAnsi="Times New Roman" w:eastAsia="宋体" w:cs="Times New Roman"/>
                <w:color w:val="000000" w:themeColor="text1"/>
                <w:kern w:val="0"/>
                <w:szCs w:val="20"/>
                <w:lang w:eastAsia="zh-CN"/>
                <w14:textFill>
                  <w14:solidFill>
                    <w14:schemeClr w14:val="tx1"/>
                  </w14:solidFill>
                </w14:textFill>
              </w:rPr>
              <w:t>HJ/T 56</w:t>
            </w:r>
          </w:p>
        </w:tc>
        <w:tc>
          <w:tcPr>
            <w:tcW w:w="6675" w:type="dxa"/>
          </w:tcPr>
          <w:p>
            <w:pPr>
              <w:adjustRightInd w:val="0"/>
              <w:ind w:firstLine="420" w:firstLineChars="200"/>
              <w:outlineLvl w:val="0"/>
              <w:rPr>
                <w:rFonts w:ascii="宋体" w:hAnsi="Times New Roman" w:eastAsia="宋体" w:cs="Times New Roman"/>
                <w:color w:val="000000" w:themeColor="text1"/>
                <w:kern w:val="0"/>
                <w:szCs w:val="20"/>
                <w:lang w:eastAsia="zh-CN"/>
                <w14:textFill>
                  <w14:solidFill>
                    <w14:schemeClr w14:val="tx1"/>
                  </w14:solidFill>
                </w14:textFill>
              </w:rPr>
            </w:pPr>
            <w:r>
              <w:rPr>
                <w:rFonts w:ascii="宋体" w:hAnsi="Times New Roman" w:eastAsia="宋体" w:cs="Times New Roman"/>
                <w:color w:val="000000" w:themeColor="text1"/>
                <w:kern w:val="0"/>
                <w:szCs w:val="20"/>
                <w:lang w:eastAsia="zh-CN"/>
                <w14:textFill>
                  <w14:solidFill>
                    <w14:schemeClr w14:val="tx1"/>
                  </w14:solidFill>
                </w14:textFill>
              </w:rPr>
              <w:t>固定污染源排气中二氧化硫的测定 碘量法</w:t>
            </w:r>
          </w:p>
        </w:tc>
      </w:tr>
      <w:tr>
        <w:tblPrEx>
          <w:tblLayout w:type="fixed"/>
        </w:tblPrEx>
        <w:tc>
          <w:tcPr>
            <w:tcW w:w="1511" w:type="dxa"/>
          </w:tcPr>
          <w:p>
            <w:pPr>
              <w:adjustRightInd w:val="0"/>
              <w:ind w:firstLine="420" w:firstLineChars="200"/>
              <w:outlineLvl w:val="0"/>
              <w:rPr>
                <w:rFonts w:ascii="宋体" w:hAnsi="Times New Roman" w:eastAsia="宋体" w:cs="Times New Roman"/>
                <w:color w:val="000000" w:themeColor="text1"/>
                <w:kern w:val="0"/>
                <w:szCs w:val="20"/>
                <w:lang w:eastAsia="zh-CN"/>
                <w14:textFill>
                  <w14:solidFill>
                    <w14:schemeClr w14:val="tx1"/>
                  </w14:solidFill>
                </w14:textFill>
              </w:rPr>
            </w:pPr>
            <w:r>
              <w:rPr>
                <w:rFonts w:ascii="宋体" w:hAnsi="Times New Roman" w:eastAsia="宋体" w:cs="Times New Roman"/>
                <w:color w:val="000000" w:themeColor="text1"/>
                <w:kern w:val="0"/>
                <w:szCs w:val="20"/>
                <w:lang w:eastAsia="zh-CN"/>
                <w14:textFill>
                  <w14:solidFill>
                    <w14:schemeClr w14:val="tx1"/>
                  </w14:solidFill>
                </w14:textFill>
              </w:rPr>
              <w:t>HJ/T 397</w:t>
            </w:r>
          </w:p>
        </w:tc>
        <w:tc>
          <w:tcPr>
            <w:tcW w:w="7777" w:type="dxa"/>
            <w:gridSpan w:val="2"/>
          </w:tcPr>
          <w:p>
            <w:pPr>
              <w:adjustRightInd w:val="0"/>
              <w:ind w:firstLine="420" w:firstLineChars="200"/>
              <w:outlineLvl w:val="0"/>
              <w:rPr>
                <w:rFonts w:ascii="宋体" w:hAnsi="Times New Roman" w:eastAsia="宋体" w:cs="Times New Roman"/>
                <w:color w:val="000000" w:themeColor="text1"/>
                <w:kern w:val="0"/>
                <w:szCs w:val="20"/>
                <w:lang w:eastAsia="zh-CN"/>
                <w14:textFill>
                  <w14:solidFill>
                    <w14:schemeClr w14:val="tx1"/>
                  </w14:solidFill>
                </w14:textFill>
              </w:rPr>
            </w:pPr>
            <w:r>
              <w:rPr>
                <w:rFonts w:ascii="宋体" w:hAnsi="Times New Roman" w:eastAsia="宋体" w:cs="Times New Roman"/>
                <w:color w:val="000000" w:themeColor="text1"/>
                <w:kern w:val="0"/>
                <w:szCs w:val="20"/>
                <w:lang w:eastAsia="zh-CN"/>
                <w14:textFill>
                  <w14:solidFill>
                    <w14:schemeClr w14:val="tx1"/>
                  </w14:solidFill>
                </w14:textFill>
              </w:rPr>
              <w:t>固定源废气监测技术规范</w:t>
            </w:r>
          </w:p>
        </w:tc>
      </w:tr>
      <w:tr>
        <w:tblPrEx>
          <w:tblLayout w:type="fixed"/>
        </w:tblPrEx>
        <w:tc>
          <w:tcPr>
            <w:tcW w:w="1511" w:type="dxa"/>
          </w:tcPr>
          <w:p>
            <w:pPr>
              <w:adjustRightInd w:val="0"/>
              <w:ind w:firstLine="420" w:firstLineChars="200"/>
              <w:outlineLvl w:val="0"/>
              <w:rPr>
                <w:rFonts w:ascii="宋体" w:hAnsiTheme="minorHAnsi" w:eastAsiaTheme="minorEastAsia" w:cstheme="minorBidi"/>
                <w:color w:val="000000" w:themeColor="text1"/>
                <w:kern w:val="0"/>
                <w:szCs w:val="20"/>
                <w:lang w:eastAsia="en-US"/>
                <w14:textFill>
                  <w14:solidFill>
                    <w14:schemeClr w14:val="tx1"/>
                  </w14:solidFill>
                </w14:textFill>
              </w:rPr>
            </w:pPr>
            <w:r>
              <w:rPr>
                <w:rFonts w:ascii="宋体" w:hAnsi="Times New Roman" w:eastAsia="宋体" w:cs="Times New Roman"/>
                <w:color w:val="000000" w:themeColor="text1"/>
                <w:kern w:val="0"/>
                <w:szCs w:val="20"/>
                <w:lang w:eastAsia="zh-CN"/>
                <w14:textFill>
                  <w14:solidFill>
                    <w14:schemeClr w14:val="tx1"/>
                  </w14:solidFill>
                </w14:textFill>
              </w:rPr>
              <w:t>HJ 57</w:t>
            </w:r>
          </w:p>
        </w:tc>
        <w:tc>
          <w:tcPr>
            <w:tcW w:w="7777" w:type="dxa"/>
            <w:gridSpan w:val="2"/>
          </w:tcPr>
          <w:p>
            <w:pPr>
              <w:adjustRightInd w:val="0"/>
              <w:ind w:firstLine="420" w:firstLineChars="200"/>
              <w:outlineLvl w:val="0"/>
              <w:rPr>
                <w:rFonts w:ascii="宋体" w:hAnsiTheme="minorHAnsi" w:eastAsiaTheme="minorEastAsia" w:cstheme="minorBidi"/>
                <w:color w:val="000000" w:themeColor="text1"/>
                <w:kern w:val="0"/>
                <w:szCs w:val="20"/>
                <w:lang w:eastAsia="zh-CN"/>
                <w14:textFill>
                  <w14:solidFill>
                    <w14:schemeClr w14:val="tx1"/>
                  </w14:solidFill>
                </w14:textFill>
              </w:rPr>
            </w:pPr>
            <w:r>
              <w:rPr>
                <w:rFonts w:ascii="宋体" w:hAnsi="Times New Roman" w:eastAsia="宋体" w:cs="Times New Roman"/>
                <w:color w:val="000000" w:themeColor="text1"/>
                <w:kern w:val="0"/>
                <w:szCs w:val="20"/>
                <w:lang w:eastAsia="zh-CN"/>
                <w14:textFill>
                  <w14:solidFill>
                    <w14:schemeClr w14:val="tx1"/>
                  </w14:solidFill>
                </w14:textFill>
              </w:rPr>
              <w:t>固定污染源排气中二氧化硫的测定 定电位电解法</w:t>
            </w:r>
          </w:p>
        </w:tc>
      </w:tr>
      <w:tr>
        <w:tblPrEx>
          <w:tblLayout w:type="fixed"/>
        </w:tblPrEx>
        <w:tc>
          <w:tcPr>
            <w:tcW w:w="1511" w:type="dxa"/>
          </w:tcPr>
          <w:p>
            <w:pPr>
              <w:adjustRightInd w:val="0"/>
              <w:ind w:firstLine="420" w:firstLineChars="200"/>
              <w:outlineLvl w:val="0"/>
              <w:rPr>
                <w:rFonts w:ascii="宋体" w:hAnsiTheme="minorHAnsi" w:eastAsiaTheme="minorEastAsia" w:cstheme="minorBidi"/>
                <w:color w:val="000000" w:themeColor="text1"/>
                <w:kern w:val="0"/>
                <w:szCs w:val="20"/>
                <w:lang w:eastAsia="en-US"/>
                <w14:textFill>
                  <w14:solidFill>
                    <w14:schemeClr w14:val="tx1"/>
                  </w14:solidFill>
                </w14:textFill>
              </w:rPr>
            </w:pPr>
            <w:r>
              <w:rPr>
                <w:rFonts w:ascii="宋体" w:hAnsi="Times New Roman" w:eastAsia="宋体" w:cs="Times New Roman"/>
                <w:color w:val="000000" w:themeColor="text1"/>
                <w:kern w:val="0"/>
                <w:szCs w:val="20"/>
                <w:lang w:eastAsia="zh-CN"/>
                <w14:textFill>
                  <w14:solidFill>
                    <w14:schemeClr w14:val="tx1"/>
                  </w14:solidFill>
                </w14:textFill>
              </w:rPr>
              <w:t>HJ 75</w:t>
            </w:r>
          </w:p>
        </w:tc>
        <w:tc>
          <w:tcPr>
            <w:tcW w:w="7777" w:type="dxa"/>
            <w:gridSpan w:val="2"/>
          </w:tcPr>
          <w:p>
            <w:pPr>
              <w:adjustRightInd w:val="0"/>
              <w:ind w:firstLine="420" w:firstLineChars="200"/>
              <w:outlineLvl w:val="0"/>
              <w:rPr>
                <w:rFonts w:ascii="宋体" w:hAnsiTheme="minorHAnsi" w:eastAsiaTheme="minorEastAsia" w:cstheme="minorBidi"/>
                <w:color w:val="000000" w:themeColor="text1"/>
                <w:kern w:val="0"/>
                <w:szCs w:val="20"/>
                <w:lang w:eastAsia="zh-CN"/>
                <w14:textFill>
                  <w14:solidFill>
                    <w14:schemeClr w14:val="tx1"/>
                  </w14:solidFill>
                </w14:textFill>
              </w:rPr>
            </w:pPr>
            <w:r>
              <w:rPr>
                <w:rFonts w:ascii="宋体" w:hAnsi="Times New Roman" w:eastAsia="宋体" w:cs="Times New Roman"/>
                <w:color w:val="000000" w:themeColor="text1"/>
                <w:kern w:val="0"/>
                <w:szCs w:val="20"/>
                <w:lang w:eastAsia="zh-CN"/>
                <w14:textFill>
                  <w14:solidFill>
                    <w14:schemeClr w14:val="tx1"/>
                  </w14:solidFill>
                </w14:textFill>
              </w:rPr>
              <w:t>固定污染源烟气排放连续监测技术规范</w:t>
            </w:r>
          </w:p>
        </w:tc>
      </w:tr>
      <w:tr>
        <w:tblPrEx>
          <w:tblLayout w:type="fixed"/>
        </w:tblPrEx>
        <w:tc>
          <w:tcPr>
            <w:tcW w:w="1511" w:type="dxa"/>
          </w:tcPr>
          <w:p>
            <w:pPr>
              <w:adjustRightInd w:val="0"/>
              <w:ind w:firstLine="420" w:firstLineChars="200"/>
              <w:outlineLvl w:val="0"/>
              <w:rPr>
                <w:rFonts w:ascii="宋体" w:hAnsiTheme="minorHAnsi" w:eastAsiaTheme="minorEastAsia" w:cstheme="minorBidi"/>
                <w:color w:val="000000" w:themeColor="text1"/>
                <w:kern w:val="0"/>
                <w:szCs w:val="20"/>
                <w:lang w:eastAsia="en-US"/>
                <w14:textFill>
                  <w14:solidFill>
                    <w14:schemeClr w14:val="tx1"/>
                  </w14:solidFill>
                </w14:textFill>
              </w:rPr>
            </w:pPr>
            <w:r>
              <w:rPr>
                <w:rFonts w:ascii="宋体" w:hAnsi="Times New Roman" w:eastAsia="宋体" w:cs="Times New Roman"/>
                <w:color w:val="000000" w:themeColor="text1"/>
                <w:kern w:val="0"/>
                <w:szCs w:val="20"/>
                <w:lang w:eastAsia="zh-CN"/>
                <w14:textFill>
                  <w14:solidFill>
                    <w14:schemeClr w14:val="tx1"/>
                  </w14:solidFill>
                </w14:textFill>
              </w:rPr>
              <w:t>HJ 76</w:t>
            </w:r>
          </w:p>
        </w:tc>
        <w:tc>
          <w:tcPr>
            <w:tcW w:w="7777" w:type="dxa"/>
            <w:gridSpan w:val="2"/>
          </w:tcPr>
          <w:p>
            <w:pPr>
              <w:adjustRightInd w:val="0"/>
              <w:ind w:firstLine="420" w:firstLineChars="200"/>
              <w:outlineLvl w:val="0"/>
              <w:rPr>
                <w:rFonts w:ascii="宋体" w:hAnsiTheme="minorHAnsi" w:eastAsiaTheme="minorEastAsia" w:cstheme="minorBidi"/>
                <w:color w:val="000000" w:themeColor="text1"/>
                <w:kern w:val="0"/>
                <w:szCs w:val="20"/>
                <w:lang w:eastAsia="zh-CN"/>
                <w14:textFill>
                  <w14:solidFill>
                    <w14:schemeClr w14:val="tx1"/>
                  </w14:solidFill>
                </w14:textFill>
              </w:rPr>
            </w:pPr>
            <w:r>
              <w:rPr>
                <w:rFonts w:hint="eastAsia" w:ascii="Times New Roman" w:hAnsiTheme="minorHAnsi" w:eastAsiaTheme="minorEastAsia" w:cstheme="minorBidi"/>
                <w:lang w:eastAsia="zh-CN"/>
              </w:rPr>
              <w:t>固定污染源烟气（S</w:t>
            </w:r>
            <w:r>
              <w:rPr>
                <w:rFonts w:ascii="Times New Roman" w:hAnsiTheme="minorHAnsi" w:eastAsiaTheme="minorEastAsia" w:cstheme="minorBidi"/>
                <w:lang w:eastAsia="zh-CN"/>
              </w:rPr>
              <w:t>O</w:t>
            </w:r>
            <w:r>
              <w:rPr>
                <w:rFonts w:ascii="Times New Roman" w:hAnsiTheme="minorHAnsi" w:eastAsiaTheme="minorEastAsia" w:cstheme="minorBidi"/>
                <w:vertAlign w:val="subscript"/>
                <w:lang w:eastAsia="zh-CN"/>
              </w:rPr>
              <w:t>2</w:t>
            </w:r>
            <w:r>
              <w:rPr>
                <w:rFonts w:hint="eastAsia" w:ascii="Times New Roman" w:hAnsiTheme="minorHAnsi" w:eastAsiaTheme="minorEastAsia" w:cstheme="minorBidi"/>
                <w:lang w:eastAsia="zh-CN"/>
              </w:rPr>
              <w:t>、N</w:t>
            </w:r>
            <w:r>
              <w:rPr>
                <w:rFonts w:ascii="Times New Roman" w:hAnsiTheme="minorHAnsi" w:eastAsiaTheme="minorEastAsia" w:cstheme="minorBidi"/>
                <w:lang w:eastAsia="zh-CN"/>
              </w:rPr>
              <w:t>O</w:t>
            </w:r>
            <w:r>
              <w:rPr>
                <w:rFonts w:ascii="Times New Roman" w:hAnsiTheme="minorHAnsi" w:eastAsiaTheme="minorEastAsia" w:cstheme="minorBidi"/>
                <w:vertAlign w:val="subscript"/>
                <w:lang w:eastAsia="zh-CN"/>
              </w:rPr>
              <w:t>X</w:t>
            </w:r>
            <w:r>
              <w:rPr>
                <w:rFonts w:hint="eastAsia" w:ascii="Times New Roman" w:hAnsiTheme="minorHAnsi" w:eastAsiaTheme="minorEastAsia" w:cstheme="minorBidi"/>
                <w:lang w:eastAsia="zh-CN"/>
              </w:rPr>
              <w:t xml:space="preserve">、颗粒物）排放连续监测系统技术要求及监测方法 </w:t>
            </w:r>
          </w:p>
        </w:tc>
      </w:tr>
      <w:tr>
        <w:tblPrEx>
          <w:tblLayout w:type="fixed"/>
        </w:tblPrEx>
        <w:tc>
          <w:tcPr>
            <w:tcW w:w="1511" w:type="dxa"/>
          </w:tcPr>
          <w:p>
            <w:pPr>
              <w:adjustRightInd w:val="0"/>
              <w:ind w:firstLine="420" w:firstLineChars="200"/>
              <w:outlineLvl w:val="0"/>
              <w:rPr>
                <w:rFonts w:ascii="宋体" w:hAnsi="Times New Roman" w:eastAsia="宋体" w:cs="Times New Roman"/>
                <w:color w:val="000000" w:themeColor="text1"/>
                <w:kern w:val="0"/>
                <w:szCs w:val="20"/>
                <w:lang w:eastAsia="zh-CN"/>
                <w14:textFill>
                  <w14:solidFill>
                    <w14:schemeClr w14:val="tx1"/>
                  </w14:solidFill>
                </w14:textFill>
              </w:rPr>
            </w:pPr>
            <w:r>
              <w:rPr>
                <w:rFonts w:ascii="宋体" w:hAnsi="Times New Roman" w:eastAsia="宋体" w:cs="Times New Roman"/>
                <w:color w:val="000000" w:themeColor="text1"/>
                <w:kern w:val="0"/>
                <w:szCs w:val="20"/>
                <w:lang w:eastAsia="zh-CN"/>
                <w14:textFill>
                  <w14:solidFill>
                    <w14:schemeClr w14:val="tx1"/>
                  </w14:solidFill>
                </w14:textFill>
              </w:rPr>
              <w:t>HJ 629</w:t>
            </w:r>
          </w:p>
        </w:tc>
        <w:tc>
          <w:tcPr>
            <w:tcW w:w="7777" w:type="dxa"/>
            <w:gridSpan w:val="2"/>
          </w:tcPr>
          <w:p>
            <w:pPr>
              <w:adjustRightInd w:val="0"/>
              <w:ind w:firstLine="420" w:firstLineChars="200"/>
              <w:outlineLvl w:val="0"/>
              <w:rPr>
                <w:rFonts w:ascii="宋体" w:hAnsi="Times New Roman" w:eastAsia="宋体" w:cs="Times New Roman"/>
                <w:color w:val="000000" w:themeColor="text1"/>
                <w:kern w:val="0"/>
                <w:szCs w:val="20"/>
                <w:lang w:eastAsia="zh-CN"/>
                <w14:textFill>
                  <w14:solidFill>
                    <w14:schemeClr w14:val="tx1"/>
                  </w14:solidFill>
                </w14:textFill>
              </w:rPr>
            </w:pPr>
            <w:r>
              <w:rPr>
                <w:rFonts w:ascii="宋体" w:hAnsi="Times New Roman" w:eastAsia="宋体" w:cs="Times New Roman"/>
                <w:color w:val="000000" w:themeColor="text1"/>
                <w:kern w:val="0"/>
                <w:szCs w:val="20"/>
                <w:lang w:eastAsia="zh-CN"/>
                <w14:textFill>
                  <w14:solidFill>
                    <w14:schemeClr w14:val="tx1"/>
                  </w14:solidFill>
                </w14:textFill>
              </w:rPr>
              <w:t>固定污染源废气 二氧化硫的测定 非分散红外吸收法</w:t>
            </w:r>
          </w:p>
        </w:tc>
      </w:tr>
      <w:tr>
        <w:tblPrEx>
          <w:tblLayout w:type="fixed"/>
        </w:tblPrEx>
        <w:tc>
          <w:tcPr>
            <w:tcW w:w="1511" w:type="dxa"/>
          </w:tcPr>
          <w:p>
            <w:pPr>
              <w:adjustRightInd w:val="0"/>
              <w:ind w:firstLine="420" w:firstLineChars="200"/>
              <w:outlineLvl w:val="0"/>
              <w:rPr>
                <w:rFonts w:ascii="宋体" w:hAnsi="Times New Roman" w:eastAsia="宋体" w:cs="Times New Roman"/>
                <w:color w:val="000000" w:themeColor="text1"/>
                <w:kern w:val="0"/>
                <w:szCs w:val="20"/>
                <w:lang w:eastAsia="zh-CN"/>
                <w14:textFill>
                  <w14:solidFill>
                    <w14:schemeClr w14:val="tx1"/>
                  </w14:solidFill>
                </w14:textFill>
              </w:rPr>
            </w:pPr>
            <w:r>
              <w:rPr>
                <w:rFonts w:ascii="宋体" w:hAnsi="Times New Roman" w:eastAsia="宋体" w:cs="Times New Roman"/>
                <w:color w:val="000000" w:themeColor="text1"/>
                <w:kern w:val="0"/>
                <w:szCs w:val="20"/>
                <w:lang w:eastAsia="zh-CN"/>
                <w14:textFill>
                  <w14:solidFill>
                    <w14:schemeClr w14:val="tx1"/>
                  </w14:solidFill>
                </w14:textFill>
              </w:rPr>
              <w:t>HJ 692</w:t>
            </w:r>
          </w:p>
        </w:tc>
        <w:tc>
          <w:tcPr>
            <w:tcW w:w="7777" w:type="dxa"/>
            <w:gridSpan w:val="2"/>
          </w:tcPr>
          <w:p>
            <w:pPr>
              <w:adjustRightInd w:val="0"/>
              <w:ind w:firstLine="420" w:firstLineChars="200"/>
              <w:outlineLvl w:val="0"/>
              <w:rPr>
                <w:rFonts w:ascii="宋体" w:hAnsi="Times New Roman" w:eastAsia="宋体" w:cs="Times New Roman"/>
                <w:color w:val="000000" w:themeColor="text1"/>
                <w:kern w:val="0"/>
                <w:szCs w:val="20"/>
                <w:lang w:eastAsia="zh-CN"/>
                <w14:textFill>
                  <w14:solidFill>
                    <w14:schemeClr w14:val="tx1"/>
                  </w14:solidFill>
                </w14:textFill>
              </w:rPr>
            </w:pPr>
            <w:r>
              <w:rPr>
                <w:rFonts w:ascii="宋体" w:hAnsi="Times New Roman" w:eastAsia="宋体" w:cs="Times New Roman"/>
                <w:color w:val="000000" w:themeColor="text1"/>
                <w:kern w:val="0"/>
                <w:szCs w:val="20"/>
                <w:lang w:eastAsia="zh-CN"/>
                <w14:textFill>
                  <w14:solidFill>
                    <w14:schemeClr w14:val="tx1"/>
                  </w14:solidFill>
                </w14:textFill>
              </w:rPr>
              <w:t>固定污染源废气 氮氧化物的测定 非分散红外吸收法</w:t>
            </w:r>
          </w:p>
        </w:tc>
      </w:tr>
      <w:tr>
        <w:tblPrEx>
          <w:tblLayout w:type="fixed"/>
        </w:tblPrEx>
        <w:tc>
          <w:tcPr>
            <w:tcW w:w="1511" w:type="dxa"/>
          </w:tcPr>
          <w:p>
            <w:pPr>
              <w:adjustRightInd w:val="0"/>
              <w:ind w:firstLine="420" w:firstLineChars="200"/>
              <w:outlineLvl w:val="0"/>
              <w:rPr>
                <w:rFonts w:ascii="宋体" w:hAnsi="Times New Roman" w:eastAsia="宋体" w:cs="Times New Roman"/>
                <w:color w:val="000000" w:themeColor="text1"/>
                <w:kern w:val="0"/>
                <w:szCs w:val="20"/>
                <w:lang w:eastAsia="zh-CN"/>
                <w14:textFill>
                  <w14:solidFill>
                    <w14:schemeClr w14:val="tx1"/>
                  </w14:solidFill>
                </w14:textFill>
              </w:rPr>
            </w:pPr>
            <w:r>
              <w:rPr>
                <w:rFonts w:ascii="宋体" w:hAnsi="Times New Roman" w:eastAsia="宋体" w:cs="Times New Roman"/>
                <w:color w:val="000000" w:themeColor="text1"/>
                <w:kern w:val="0"/>
                <w:szCs w:val="20"/>
                <w:lang w:eastAsia="zh-CN"/>
                <w14:textFill>
                  <w14:solidFill>
                    <w14:schemeClr w14:val="tx1"/>
                  </w14:solidFill>
                </w14:textFill>
              </w:rPr>
              <w:t>HJ 693</w:t>
            </w:r>
          </w:p>
        </w:tc>
        <w:tc>
          <w:tcPr>
            <w:tcW w:w="7777" w:type="dxa"/>
            <w:gridSpan w:val="2"/>
          </w:tcPr>
          <w:p>
            <w:pPr>
              <w:adjustRightInd w:val="0"/>
              <w:ind w:firstLine="420" w:firstLineChars="200"/>
              <w:outlineLvl w:val="0"/>
              <w:rPr>
                <w:rFonts w:ascii="宋体" w:hAnsi="Times New Roman" w:eastAsia="宋体" w:cs="Times New Roman"/>
                <w:color w:val="000000" w:themeColor="text1"/>
                <w:kern w:val="0"/>
                <w:szCs w:val="20"/>
                <w:lang w:eastAsia="zh-CN"/>
                <w14:textFill>
                  <w14:solidFill>
                    <w14:schemeClr w14:val="tx1"/>
                  </w14:solidFill>
                </w14:textFill>
              </w:rPr>
            </w:pPr>
            <w:r>
              <w:rPr>
                <w:rFonts w:ascii="宋体" w:hAnsi="Times New Roman" w:eastAsia="宋体" w:cs="Times New Roman"/>
                <w:color w:val="000000" w:themeColor="text1"/>
                <w:kern w:val="0"/>
                <w:szCs w:val="20"/>
                <w:lang w:eastAsia="zh-CN"/>
                <w14:textFill>
                  <w14:solidFill>
                    <w14:schemeClr w14:val="tx1"/>
                  </w14:solidFill>
                </w14:textFill>
              </w:rPr>
              <w:t>固定污染源废气 氮氧化物的测定 定电位电解法</w:t>
            </w:r>
          </w:p>
        </w:tc>
      </w:tr>
      <w:tr>
        <w:tblPrEx>
          <w:tblLayout w:type="fixed"/>
        </w:tblPrEx>
        <w:tc>
          <w:tcPr>
            <w:tcW w:w="1511" w:type="dxa"/>
          </w:tcPr>
          <w:p>
            <w:pPr>
              <w:adjustRightInd w:val="0"/>
              <w:ind w:firstLine="420" w:firstLineChars="200"/>
              <w:outlineLvl w:val="0"/>
              <w:rPr>
                <w:rFonts w:ascii="宋体" w:hAnsiTheme="minorHAnsi" w:eastAsiaTheme="minorEastAsia" w:cstheme="minorBidi"/>
                <w:color w:val="000000" w:themeColor="text1"/>
                <w:kern w:val="0"/>
                <w:szCs w:val="20"/>
                <w:lang w:eastAsia="en-US"/>
                <w14:textFill>
                  <w14:solidFill>
                    <w14:schemeClr w14:val="tx1"/>
                  </w14:solidFill>
                </w14:textFill>
              </w:rPr>
            </w:pPr>
            <w:r>
              <w:rPr>
                <w:rFonts w:ascii="宋体" w:hAnsiTheme="minorHAnsi" w:eastAsiaTheme="minorEastAsia" w:cstheme="minorBidi"/>
                <w:color w:val="000000" w:themeColor="text1"/>
                <w:kern w:val="0"/>
                <w:szCs w:val="20"/>
                <w:lang w:eastAsia="en-US"/>
                <w14:textFill>
                  <w14:solidFill>
                    <w14:schemeClr w14:val="tx1"/>
                  </w14:solidFill>
                </w14:textFill>
              </w:rPr>
              <w:t xml:space="preserve">HJ 836  </w:t>
            </w:r>
          </w:p>
        </w:tc>
        <w:tc>
          <w:tcPr>
            <w:tcW w:w="7777" w:type="dxa"/>
            <w:gridSpan w:val="2"/>
          </w:tcPr>
          <w:p>
            <w:pPr>
              <w:adjustRightInd w:val="0"/>
              <w:ind w:firstLine="420" w:firstLineChars="200"/>
              <w:outlineLvl w:val="0"/>
              <w:rPr>
                <w:rFonts w:ascii="宋体" w:hAnsiTheme="minorHAnsi" w:eastAsiaTheme="minorEastAsia" w:cstheme="minorBidi"/>
                <w:color w:val="000000" w:themeColor="text1"/>
                <w:kern w:val="0"/>
                <w:szCs w:val="20"/>
                <w:lang w:eastAsia="zh-CN"/>
                <w14:textFill>
                  <w14:solidFill>
                    <w14:schemeClr w14:val="tx1"/>
                  </w14:solidFill>
                </w14:textFill>
              </w:rPr>
            </w:pPr>
            <w:r>
              <w:rPr>
                <w:rFonts w:hint="eastAsia" w:asciiTheme="minorHAnsi" w:hAnsiTheme="minorHAnsi" w:eastAsiaTheme="minorEastAsia" w:cstheme="minorBidi"/>
                <w:lang w:eastAsia="zh-CN"/>
              </w:rPr>
              <w:t>固定污染源废气 低浓度颗粒物的测定 重量法</w:t>
            </w:r>
          </w:p>
        </w:tc>
      </w:tr>
      <w:tr>
        <w:tblPrEx>
          <w:tblLayout w:type="fixed"/>
        </w:tblPrEx>
        <w:tc>
          <w:tcPr>
            <w:tcW w:w="1511" w:type="dxa"/>
          </w:tcPr>
          <w:p>
            <w:pPr>
              <w:adjustRightInd w:val="0"/>
              <w:ind w:firstLine="420" w:firstLineChars="200"/>
              <w:outlineLvl w:val="0"/>
              <w:rPr>
                <w:rFonts w:ascii="宋体" w:hAnsi="Times New Roman" w:eastAsia="宋体" w:cs="Times New Roman"/>
                <w:color w:val="000000" w:themeColor="text1"/>
                <w:kern w:val="0"/>
                <w:szCs w:val="20"/>
                <w:lang w:eastAsia="zh-CN"/>
                <w14:textFill>
                  <w14:solidFill>
                    <w14:schemeClr w14:val="tx1"/>
                  </w14:solidFill>
                </w14:textFill>
              </w:rPr>
            </w:pPr>
            <w:r>
              <w:rPr>
                <w:rFonts w:hint="eastAsia" w:ascii="宋体" w:hAnsi="Times New Roman" w:eastAsia="宋体" w:cs="Times New Roman"/>
                <w:color w:val="000000" w:themeColor="text1"/>
                <w:kern w:val="0"/>
                <w:szCs w:val="20"/>
                <w:lang w:eastAsia="zh-CN"/>
                <w14:textFill>
                  <w14:solidFill>
                    <w14:schemeClr w14:val="tx1"/>
                  </w14:solidFill>
                </w14:textFill>
              </w:rPr>
              <w:t>HJ</w:t>
            </w:r>
            <w:r>
              <w:rPr>
                <w:rFonts w:ascii="宋体" w:hAnsi="Times New Roman" w:eastAsia="宋体" w:cs="Times New Roman"/>
                <w:color w:val="000000" w:themeColor="text1"/>
                <w:kern w:val="0"/>
                <w:szCs w:val="20"/>
                <w:lang w:eastAsia="zh-CN"/>
                <w14:textFill>
                  <w14:solidFill>
                    <w14:schemeClr w14:val="tx1"/>
                  </w14:solidFill>
                </w14:textFill>
              </w:rPr>
              <w:t xml:space="preserve"> </w:t>
            </w:r>
            <w:r>
              <w:rPr>
                <w:rFonts w:hint="eastAsia" w:ascii="宋体" w:hAnsi="Times New Roman" w:eastAsia="宋体" w:cs="Times New Roman"/>
                <w:color w:val="000000" w:themeColor="text1"/>
                <w:kern w:val="0"/>
                <w:szCs w:val="20"/>
                <w:lang w:eastAsia="zh-CN"/>
                <w14:textFill>
                  <w14:solidFill>
                    <w14:schemeClr w14:val="tx1"/>
                  </w14:solidFill>
                </w14:textFill>
              </w:rPr>
              <w:t>856</w:t>
            </w:r>
          </w:p>
        </w:tc>
        <w:tc>
          <w:tcPr>
            <w:tcW w:w="7777" w:type="dxa"/>
            <w:gridSpan w:val="2"/>
          </w:tcPr>
          <w:p>
            <w:pPr>
              <w:adjustRightInd w:val="0"/>
              <w:ind w:firstLine="420" w:firstLineChars="200"/>
              <w:outlineLvl w:val="0"/>
              <w:rPr>
                <w:rFonts w:ascii="宋体" w:hAnsi="Times New Roman" w:eastAsia="宋体" w:cs="Times New Roman"/>
                <w:color w:val="000000" w:themeColor="text1"/>
                <w:kern w:val="0"/>
                <w:szCs w:val="20"/>
                <w:lang w:eastAsia="zh-CN"/>
                <w14:textFill>
                  <w14:solidFill>
                    <w14:schemeClr w14:val="tx1"/>
                  </w14:solidFill>
                </w14:textFill>
              </w:rPr>
            </w:pPr>
            <w:r>
              <w:rPr>
                <w:rFonts w:hint="eastAsia" w:ascii="宋体" w:hAnsi="Times New Roman" w:eastAsia="宋体" w:cs="Times New Roman"/>
                <w:color w:val="000000" w:themeColor="text1"/>
                <w:kern w:val="0"/>
                <w:szCs w:val="20"/>
                <w:lang w:eastAsia="zh-CN"/>
                <w14:textFill>
                  <w14:solidFill>
                    <w14:schemeClr w14:val="tx1"/>
                  </w14:solidFill>
                </w14:textFill>
              </w:rPr>
              <w:t>排污许可证申请与核发技术规范 玻璃工业—平板玻璃</w:t>
            </w:r>
          </w:p>
        </w:tc>
      </w:tr>
      <w:tr>
        <w:tblPrEx>
          <w:tblLayout w:type="fixed"/>
        </w:tblPrEx>
        <w:tc>
          <w:tcPr>
            <w:tcW w:w="9288" w:type="dxa"/>
            <w:gridSpan w:val="3"/>
          </w:tcPr>
          <w:p>
            <w:pPr>
              <w:adjustRightInd w:val="0"/>
              <w:ind w:firstLine="420" w:firstLineChars="200"/>
              <w:outlineLvl w:val="0"/>
              <w:rPr>
                <w:rFonts w:ascii="宋体" w:hAnsi="Times New Roman" w:eastAsia="宋体" w:cs="Times New Roman"/>
                <w:color w:val="000000" w:themeColor="text1"/>
                <w:kern w:val="0"/>
                <w:szCs w:val="20"/>
                <w:lang w:eastAsia="zh-CN"/>
                <w14:textFill>
                  <w14:solidFill>
                    <w14:schemeClr w14:val="tx1"/>
                  </w14:solidFill>
                </w14:textFill>
              </w:rPr>
            </w:pPr>
            <w:r>
              <w:rPr>
                <w:rFonts w:ascii="宋体" w:hAnsi="Times New Roman" w:eastAsia="宋体" w:cs="Times New Roman"/>
                <w:color w:val="000000" w:themeColor="text1"/>
                <w:kern w:val="0"/>
                <w:szCs w:val="20"/>
                <w:lang w:eastAsia="zh-CN"/>
                <w14:textFill>
                  <w14:solidFill>
                    <w14:schemeClr w14:val="tx1"/>
                  </w14:solidFill>
                </w14:textFill>
              </w:rPr>
              <w:t>《污染源自动监控管理办法》（国家环境保护总局令 第 28 号）</w:t>
            </w:r>
          </w:p>
        </w:tc>
      </w:tr>
      <w:tr>
        <w:tblPrEx>
          <w:tblLayout w:type="fixed"/>
        </w:tblPrEx>
        <w:tc>
          <w:tcPr>
            <w:tcW w:w="9288" w:type="dxa"/>
            <w:gridSpan w:val="3"/>
          </w:tcPr>
          <w:p>
            <w:pPr>
              <w:adjustRightInd w:val="0"/>
              <w:ind w:firstLine="420" w:firstLineChars="200"/>
              <w:outlineLvl w:val="0"/>
              <w:rPr>
                <w:rFonts w:ascii="宋体" w:hAnsi="Times New Roman" w:eastAsia="宋体" w:cs="Times New Roman"/>
                <w:color w:val="000000" w:themeColor="text1"/>
                <w:kern w:val="0"/>
                <w:szCs w:val="20"/>
                <w:lang w:eastAsia="zh-CN"/>
                <w14:textFill>
                  <w14:solidFill>
                    <w14:schemeClr w14:val="tx1"/>
                  </w14:solidFill>
                </w14:textFill>
              </w:rPr>
            </w:pPr>
            <w:r>
              <w:rPr>
                <w:rFonts w:ascii="宋体" w:hAnsi="Times New Roman" w:eastAsia="宋体" w:cs="Times New Roman"/>
                <w:color w:val="000000" w:themeColor="text1"/>
                <w:kern w:val="0"/>
                <w:szCs w:val="20"/>
                <w:lang w:eastAsia="zh-CN"/>
                <w14:textFill>
                  <w14:solidFill>
                    <w14:schemeClr w14:val="tx1"/>
                  </w14:solidFill>
                </w14:textFill>
              </w:rPr>
              <w:t>《环境监测管理办法》（国家环境保护总局令 第 39 号）</w:t>
            </w:r>
          </w:p>
        </w:tc>
      </w:tr>
    </w:tbl>
    <w:p>
      <w:pPr>
        <w:pStyle w:val="2"/>
        <w:spacing w:before="312" w:after="312"/>
      </w:pPr>
      <w:r>
        <w:t xml:space="preserve">3 </w:t>
      </w:r>
      <w:r>
        <w:rPr>
          <w:rFonts w:hint="eastAsia"/>
        </w:rPr>
        <w:t>术语和定义</w:t>
      </w:r>
      <w:bookmarkEnd w:id="4"/>
    </w:p>
    <w:p>
      <w:pPr>
        <w:pStyle w:val="57"/>
        <w:ind w:firstLine="420"/>
      </w:pPr>
      <w:r>
        <w:t>本标准采用下列术语和定义。</w:t>
      </w:r>
    </w:p>
    <w:p>
      <w:pPr>
        <w:pStyle w:val="122"/>
        <w:tabs>
          <w:tab w:val="left" w:pos="644"/>
          <w:tab w:val="left" w:pos="2113"/>
        </w:tabs>
        <w:spacing w:before="156" w:beforeLines="50" w:after="156" w:afterLines="50"/>
        <w:rPr>
          <w:rFonts w:ascii="黑体" w:hAnsi="黑体" w:eastAsia="黑体" w:cs="黑体"/>
          <w:sz w:val="21"/>
          <w:szCs w:val="21"/>
          <w:lang w:eastAsia="zh-CN"/>
        </w:rPr>
      </w:pPr>
      <w:r>
        <w:rPr>
          <w:rFonts w:hint="eastAsia" w:ascii="黑体" w:hAnsi="黑体" w:eastAsia="黑体" w:cs="黑体"/>
          <w:sz w:val="21"/>
          <w:szCs w:val="21"/>
          <w:lang w:eastAsia="zh-CN"/>
        </w:rPr>
        <w:t>3</w:t>
      </w:r>
      <w:r>
        <w:rPr>
          <w:rFonts w:ascii="黑体" w:hAnsi="黑体" w:eastAsia="黑体" w:cs="黑体"/>
          <w:sz w:val="21"/>
          <w:szCs w:val="21"/>
          <w:lang w:eastAsia="zh-CN"/>
        </w:rPr>
        <w:t>.1</w:t>
      </w:r>
    </w:p>
    <w:p>
      <w:pPr>
        <w:tabs>
          <w:tab w:val="left" w:pos="644"/>
          <w:tab w:val="left" w:pos="2113"/>
        </w:tabs>
        <w:spacing w:before="156" w:beforeLines="50" w:after="156" w:afterLines="50"/>
        <w:ind w:firstLine="420" w:firstLineChars="200"/>
        <w:rPr>
          <w:rFonts w:ascii="黑体" w:hAnsi="黑体" w:eastAsia="黑体" w:cs="黑体"/>
          <w:szCs w:val="21"/>
        </w:rPr>
      </w:pPr>
      <w:r>
        <w:rPr>
          <w:rFonts w:hint="eastAsia" w:ascii="黑体" w:hAnsi="黑体" w:eastAsia="黑体" w:cs="黑体"/>
          <w:szCs w:val="21"/>
        </w:rPr>
        <w:t>玻璃工业</w:t>
      </w:r>
      <w:r>
        <w:rPr>
          <w:rFonts w:ascii="黑体" w:hAnsi="黑体" w:eastAsia="黑体" w:cs="黑体"/>
          <w:szCs w:val="21"/>
        </w:rPr>
        <w:t xml:space="preserve">  glass </w:t>
      </w:r>
      <w:r>
        <w:rPr>
          <w:rFonts w:hint="eastAsia" w:ascii="黑体" w:hAnsi="黑体" w:eastAsia="黑体" w:cs="黑体"/>
          <w:szCs w:val="21"/>
        </w:rPr>
        <w:t>indu</w:t>
      </w:r>
      <w:r>
        <w:rPr>
          <w:rFonts w:ascii="黑体" w:hAnsi="黑体" w:eastAsia="黑体" w:cs="黑体"/>
          <w:szCs w:val="21"/>
        </w:rPr>
        <w:t>stry</w:t>
      </w:r>
    </w:p>
    <w:p>
      <w:pPr>
        <w:pStyle w:val="122"/>
        <w:tabs>
          <w:tab w:val="left" w:pos="644"/>
          <w:tab w:val="left" w:pos="2113"/>
        </w:tabs>
        <w:spacing w:before="156" w:beforeLines="50" w:after="156" w:afterLines="50"/>
        <w:ind w:firstLine="428" w:firstLineChars="200"/>
        <w:rPr>
          <w:rFonts w:ascii="Times New Roman" w:hAnsi="Times New Roman" w:eastAsia="宋体" w:cs="Times New Roman"/>
          <w:spacing w:val="2"/>
          <w:kern w:val="2"/>
          <w:sz w:val="21"/>
          <w:szCs w:val="24"/>
          <w:lang w:eastAsia="zh-CN"/>
        </w:rPr>
      </w:pPr>
      <w:r>
        <w:rPr>
          <w:rFonts w:hint="eastAsia" w:ascii="Times New Roman" w:hAnsi="Times New Roman" w:eastAsia="宋体" w:cs="Times New Roman"/>
          <w:spacing w:val="2"/>
          <w:kern w:val="2"/>
          <w:sz w:val="21"/>
          <w:szCs w:val="24"/>
          <w:lang w:eastAsia="zh-CN"/>
        </w:rPr>
        <w:t>指制造平板玻璃和电子玻璃的工业。</w:t>
      </w:r>
    </w:p>
    <w:p>
      <w:pPr>
        <w:pStyle w:val="122"/>
        <w:tabs>
          <w:tab w:val="left" w:pos="644"/>
          <w:tab w:val="left" w:pos="2113"/>
        </w:tabs>
        <w:spacing w:before="156" w:beforeLines="50" w:after="156" w:afterLines="50"/>
        <w:rPr>
          <w:rFonts w:ascii="黑体" w:hAnsi="黑体" w:eastAsia="黑体" w:cs="黑体"/>
          <w:sz w:val="21"/>
          <w:szCs w:val="21"/>
          <w:lang w:eastAsia="zh-CN"/>
        </w:rPr>
      </w:pPr>
      <w:r>
        <w:rPr>
          <w:rFonts w:hint="eastAsia" w:ascii="黑体" w:hAnsi="黑体" w:eastAsia="黑体" w:cs="黑体"/>
          <w:sz w:val="21"/>
          <w:szCs w:val="21"/>
          <w:lang w:eastAsia="zh-CN"/>
        </w:rPr>
        <w:t>3</w:t>
      </w:r>
      <w:r>
        <w:rPr>
          <w:rFonts w:ascii="黑体" w:hAnsi="黑体" w:eastAsia="黑体" w:cs="黑体"/>
          <w:sz w:val="21"/>
          <w:szCs w:val="21"/>
          <w:lang w:eastAsia="zh-CN"/>
        </w:rPr>
        <w:t>.2</w:t>
      </w:r>
    </w:p>
    <w:p>
      <w:pPr>
        <w:tabs>
          <w:tab w:val="left" w:pos="644"/>
          <w:tab w:val="left" w:pos="2113"/>
        </w:tabs>
        <w:spacing w:before="156" w:beforeLines="50" w:after="156" w:afterLines="50"/>
        <w:ind w:firstLine="420" w:firstLineChars="200"/>
        <w:rPr>
          <w:rFonts w:ascii="黑体" w:hAnsi="黑体" w:eastAsia="黑体" w:cs="黑体"/>
          <w:szCs w:val="21"/>
        </w:rPr>
      </w:pPr>
      <w:r>
        <w:rPr>
          <w:rFonts w:hint="eastAsia" w:ascii="黑体" w:hAnsi="黑体" w:eastAsia="黑体" w:cs="黑体"/>
          <w:szCs w:val="21"/>
        </w:rPr>
        <w:t>平</w:t>
      </w:r>
      <w:r>
        <w:rPr>
          <w:rFonts w:hint="eastAsia" w:ascii="黑体" w:hAnsi="黑体" w:eastAsia="黑体"/>
          <w:szCs w:val="20"/>
        </w:rPr>
        <w:t>板</w:t>
      </w:r>
      <w:r>
        <w:rPr>
          <w:rFonts w:ascii="黑体" w:hAnsi="黑体" w:eastAsia="黑体"/>
          <w:szCs w:val="20"/>
        </w:rPr>
        <w:t>玻璃</w:t>
      </w:r>
      <w:r>
        <w:rPr>
          <w:rFonts w:ascii="黑体" w:hAnsi="黑体" w:eastAsia="黑体" w:cs="黑体"/>
          <w:szCs w:val="21"/>
        </w:rPr>
        <w:t xml:space="preserve">  flat glass</w:t>
      </w:r>
    </w:p>
    <w:p>
      <w:pPr>
        <w:pStyle w:val="122"/>
        <w:tabs>
          <w:tab w:val="left" w:pos="644"/>
          <w:tab w:val="left" w:pos="2113"/>
        </w:tabs>
        <w:spacing w:before="156" w:beforeLines="50" w:after="156" w:afterLines="50"/>
        <w:ind w:firstLine="428" w:firstLineChars="200"/>
        <w:rPr>
          <w:rFonts w:ascii="Times New Roman" w:hAnsi="Times New Roman" w:eastAsia="宋体" w:cs="Times New Roman"/>
          <w:spacing w:val="2"/>
          <w:kern w:val="2"/>
          <w:sz w:val="21"/>
          <w:szCs w:val="21"/>
          <w:lang w:eastAsia="zh-CN"/>
        </w:rPr>
      </w:pPr>
      <w:r>
        <w:rPr>
          <w:rFonts w:hint="eastAsia" w:ascii="Times New Roman" w:hAnsi="Times New Roman" w:eastAsia="宋体" w:cs="Times New Roman"/>
          <w:spacing w:val="2"/>
          <w:kern w:val="2"/>
          <w:sz w:val="21"/>
          <w:szCs w:val="21"/>
          <w:lang w:eastAsia="zh-CN"/>
        </w:rPr>
        <w:t>用浮法或压延法生产的板状硅酸盐玻璃，包括</w:t>
      </w:r>
      <w:r>
        <w:rPr>
          <w:rFonts w:hint="eastAsia" w:ascii="宋体"/>
          <w:color w:val="000000" w:themeColor="text1"/>
          <w:sz w:val="21"/>
          <w:szCs w:val="21"/>
          <w:lang w:eastAsia="zh-CN"/>
          <w14:textFill>
            <w14:solidFill>
              <w14:schemeClr w14:val="tx1"/>
            </w14:solidFill>
          </w14:textFill>
        </w:rPr>
        <w:t>电子玻璃工业太阳能电池玻璃（薄膜太阳能电池用基板玻璃、晶体硅太阳能电池用封装玻璃等）</w:t>
      </w:r>
      <w:r>
        <w:rPr>
          <w:rFonts w:hint="eastAsia" w:ascii="Times New Roman" w:hAnsi="Times New Roman" w:eastAsia="宋体" w:cs="Times New Roman"/>
          <w:spacing w:val="2"/>
          <w:kern w:val="2"/>
          <w:sz w:val="21"/>
          <w:szCs w:val="21"/>
          <w:lang w:eastAsia="zh-CN"/>
        </w:rPr>
        <w:t>。</w:t>
      </w:r>
    </w:p>
    <w:p>
      <w:pPr>
        <w:pStyle w:val="122"/>
        <w:tabs>
          <w:tab w:val="left" w:pos="644"/>
          <w:tab w:val="left" w:pos="2113"/>
        </w:tabs>
        <w:spacing w:before="156" w:beforeLines="50" w:after="156" w:afterLines="50"/>
        <w:rPr>
          <w:rFonts w:ascii="黑体" w:hAnsi="黑体" w:eastAsia="黑体" w:cs="黑体"/>
          <w:sz w:val="21"/>
          <w:szCs w:val="21"/>
          <w:lang w:eastAsia="zh-CN"/>
        </w:rPr>
      </w:pPr>
      <w:r>
        <w:rPr>
          <w:rFonts w:hint="eastAsia" w:ascii="黑体" w:hAnsi="黑体" w:eastAsia="黑体" w:cs="黑体"/>
          <w:sz w:val="21"/>
          <w:szCs w:val="21"/>
          <w:lang w:eastAsia="zh-CN"/>
        </w:rPr>
        <w:t>3</w:t>
      </w:r>
      <w:r>
        <w:rPr>
          <w:rFonts w:ascii="黑体" w:hAnsi="黑体" w:eastAsia="黑体" w:cs="黑体"/>
          <w:sz w:val="21"/>
          <w:szCs w:val="21"/>
          <w:lang w:eastAsia="zh-CN"/>
        </w:rPr>
        <w:t>.</w:t>
      </w:r>
      <w:r>
        <w:rPr>
          <w:rFonts w:hint="eastAsia" w:ascii="黑体" w:hAnsi="黑体" w:eastAsia="黑体" w:cs="黑体"/>
          <w:sz w:val="21"/>
          <w:szCs w:val="21"/>
          <w:lang w:eastAsia="zh-CN"/>
        </w:rPr>
        <w:t>3</w:t>
      </w:r>
    </w:p>
    <w:p>
      <w:pPr>
        <w:pStyle w:val="122"/>
        <w:tabs>
          <w:tab w:val="left" w:pos="644"/>
          <w:tab w:val="left" w:pos="2113"/>
        </w:tabs>
        <w:spacing w:before="156" w:beforeLines="50" w:after="156" w:afterLines="50"/>
        <w:ind w:firstLine="420" w:firstLineChars="200"/>
        <w:rPr>
          <w:rFonts w:ascii="黑体" w:hAnsi="黑体" w:eastAsia="黑体" w:cs="黑体"/>
          <w:sz w:val="21"/>
          <w:szCs w:val="21"/>
          <w:lang w:eastAsia="zh-CN"/>
        </w:rPr>
      </w:pPr>
      <w:r>
        <w:rPr>
          <w:rFonts w:hint="eastAsia" w:ascii="黑体" w:hAnsi="黑体" w:eastAsia="黑体" w:cs="黑体"/>
          <w:sz w:val="21"/>
          <w:szCs w:val="21"/>
          <w:lang w:eastAsia="zh-CN"/>
        </w:rPr>
        <w:t>平板</w:t>
      </w:r>
      <w:r>
        <w:rPr>
          <w:rFonts w:ascii="黑体" w:hAnsi="黑体" w:eastAsia="黑体" w:cs="黑体"/>
          <w:sz w:val="21"/>
          <w:szCs w:val="21"/>
        </w:rPr>
        <w:t xml:space="preserve">玻璃熔窑  </w:t>
      </w:r>
      <w:r>
        <w:rPr>
          <w:rFonts w:ascii="黑体" w:hAnsi="黑体" w:eastAsia="黑体" w:cs="黑体"/>
          <w:szCs w:val="21"/>
        </w:rPr>
        <w:t xml:space="preserve">flat </w:t>
      </w:r>
      <w:r>
        <w:rPr>
          <w:rFonts w:ascii="黑体" w:hAnsi="黑体" w:eastAsia="黑体" w:cs="黑体"/>
          <w:sz w:val="21"/>
          <w:szCs w:val="21"/>
        </w:rPr>
        <w:t>glass</w:t>
      </w:r>
      <w:r>
        <w:rPr>
          <w:rFonts w:ascii="黑体" w:hAnsi="黑体" w:eastAsia="黑体" w:cs="黑体"/>
          <w:spacing w:val="-2"/>
          <w:sz w:val="21"/>
          <w:szCs w:val="21"/>
        </w:rPr>
        <w:t xml:space="preserve"> </w:t>
      </w:r>
      <w:r>
        <w:rPr>
          <w:rFonts w:ascii="黑体" w:hAnsi="黑体" w:eastAsia="黑体" w:cs="黑体"/>
          <w:sz w:val="21"/>
          <w:szCs w:val="21"/>
        </w:rPr>
        <w:t>furnace</w:t>
      </w:r>
    </w:p>
    <w:p>
      <w:pPr>
        <w:pStyle w:val="21"/>
        <w:spacing w:after="0"/>
        <w:ind w:firstLine="428" w:firstLineChars="200"/>
        <w:rPr>
          <w:spacing w:val="2"/>
        </w:rPr>
      </w:pPr>
      <w:r>
        <w:rPr>
          <w:rFonts w:hint="eastAsia"/>
          <w:spacing w:val="2"/>
        </w:rPr>
        <w:t>熔制平板玻璃的热工设备，由钢结构和耐火材料砌筑而成</w:t>
      </w:r>
      <w:r>
        <w:rPr>
          <w:spacing w:val="2"/>
        </w:rPr>
        <w:t>。</w:t>
      </w:r>
    </w:p>
    <w:p>
      <w:pPr>
        <w:pStyle w:val="122"/>
        <w:tabs>
          <w:tab w:val="left" w:pos="644"/>
          <w:tab w:val="left" w:pos="2113"/>
        </w:tabs>
        <w:spacing w:before="156" w:beforeLines="50" w:after="156" w:afterLines="50"/>
        <w:rPr>
          <w:rFonts w:ascii="黑体" w:hAnsi="黑体" w:eastAsia="黑体" w:cs="黑体"/>
          <w:sz w:val="21"/>
          <w:szCs w:val="21"/>
          <w:lang w:eastAsia="zh-CN"/>
        </w:rPr>
      </w:pPr>
      <w:r>
        <w:rPr>
          <w:rFonts w:hint="eastAsia" w:ascii="黑体" w:hAnsi="黑体" w:eastAsia="黑体" w:cs="黑体"/>
          <w:sz w:val="21"/>
          <w:szCs w:val="21"/>
          <w:lang w:eastAsia="zh-CN"/>
        </w:rPr>
        <w:t>3</w:t>
      </w:r>
      <w:r>
        <w:rPr>
          <w:rFonts w:ascii="黑体" w:hAnsi="黑体" w:eastAsia="黑体" w:cs="黑体"/>
          <w:sz w:val="21"/>
          <w:szCs w:val="21"/>
          <w:lang w:eastAsia="zh-CN"/>
        </w:rPr>
        <w:t>.</w:t>
      </w:r>
      <w:r>
        <w:rPr>
          <w:rFonts w:hint="eastAsia" w:ascii="黑体" w:hAnsi="黑体" w:eastAsia="黑体" w:cs="黑体"/>
          <w:sz w:val="21"/>
          <w:szCs w:val="21"/>
          <w:lang w:eastAsia="zh-CN"/>
        </w:rPr>
        <w:t>4</w:t>
      </w:r>
    </w:p>
    <w:p>
      <w:pPr>
        <w:pStyle w:val="122"/>
        <w:tabs>
          <w:tab w:val="left" w:pos="644"/>
          <w:tab w:val="left" w:pos="2113"/>
        </w:tabs>
        <w:spacing w:before="156" w:beforeLines="50" w:after="156" w:afterLines="50"/>
        <w:ind w:firstLine="420" w:firstLineChars="200"/>
        <w:rPr>
          <w:rFonts w:ascii="黑体" w:hAnsi="黑体" w:eastAsia="黑体" w:cs="黑体"/>
          <w:sz w:val="21"/>
          <w:szCs w:val="21"/>
          <w:lang w:eastAsia="zh-CN"/>
        </w:rPr>
      </w:pPr>
      <w:r>
        <w:rPr>
          <w:rFonts w:hint="eastAsia" w:ascii="黑体" w:hAnsi="黑体" w:eastAsia="黑体" w:cs="黑体"/>
          <w:sz w:val="21"/>
          <w:szCs w:val="21"/>
          <w:lang w:eastAsia="zh-CN"/>
        </w:rPr>
        <w:t>电子玻璃</w:t>
      </w:r>
      <w:r>
        <w:rPr>
          <w:rFonts w:ascii="黑体" w:hAnsi="黑体" w:eastAsia="黑体" w:cs="黑体"/>
          <w:sz w:val="21"/>
          <w:szCs w:val="21"/>
          <w:lang w:eastAsia="zh-CN"/>
        </w:rPr>
        <w:t xml:space="preserve">  electronic glass</w:t>
      </w:r>
    </w:p>
    <w:p>
      <w:pPr>
        <w:pStyle w:val="21"/>
        <w:spacing w:after="0"/>
        <w:ind w:firstLine="428" w:firstLineChars="200"/>
        <w:rPr>
          <w:spacing w:val="2"/>
        </w:rPr>
      </w:pPr>
      <w:r>
        <w:rPr>
          <w:rFonts w:hint="eastAsia"/>
          <w:spacing w:val="2"/>
        </w:rPr>
        <w:t>C</w:t>
      </w:r>
      <w:r>
        <w:rPr>
          <w:spacing w:val="2"/>
        </w:rPr>
        <w:t>RT</w:t>
      </w:r>
      <w:r>
        <w:rPr>
          <w:rFonts w:hint="eastAsia"/>
          <w:spacing w:val="2"/>
        </w:rPr>
        <w:t>显像管玻璃、平板显示玻璃、电光源玻璃等应用电子、微电子、光电子领域的玻璃产品</w:t>
      </w:r>
      <w:r>
        <w:rPr>
          <w:spacing w:val="2"/>
        </w:rPr>
        <w:t>。</w:t>
      </w:r>
    </w:p>
    <w:p>
      <w:pPr>
        <w:pStyle w:val="122"/>
        <w:tabs>
          <w:tab w:val="left" w:pos="644"/>
          <w:tab w:val="left" w:pos="2113"/>
        </w:tabs>
        <w:spacing w:before="156" w:beforeLines="50" w:after="156" w:afterLines="50"/>
        <w:rPr>
          <w:rFonts w:ascii="黑体" w:hAnsi="黑体" w:eastAsia="黑体" w:cs="黑体"/>
          <w:sz w:val="21"/>
          <w:szCs w:val="21"/>
          <w:lang w:eastAsia="zh-CN"/>
        </w:rPr>
      </w:pPr>
      <w:bookmarkStart w:id="5" w:name="_Toc447722481"/>
      <w:r>
        <w:rPr>
          <w:rFonts w:hint="eastAsia" w:ascii="黑体" w:hAnsi="黑体" w:eastAsia="黑体" w:cs="黑体"/>
          <w:sz w:val="21"/>
          <w:szCs w:val="21"/>
          <w:lang w:eastAsia="zh-CN"/>
        </w:rPr>
        <w:t>3</w:t>
      </w:r>
      <w:r>
        <w:rPr>
          <w:rFonts w:ascii="黑体" w:hAnsi="黑体" w:eastAsia="黑体" w:cs="黑体"/>
          <w:sz w:val="21"/>
          <w:szCs w:val="21"/>
          <w:lang w:eastAsia="zh-CN"/>
        </w:rPr>
        <w:t>.</w:t>
      </w:r>
      <w:r>
        <w:rPr>
          <w:rFonts w:hint="eastAsia" w:ascii="黑体" w:hAnsi="黑体" w:eastAsia="黑体" w:cs="黑体"/>
          <w:sz w:val="21"/>
          <w:szCs w:val="21"/>
          <w:lang w:eastAsia="zh-CN"/>
        </w:rPr>
        <w:t>5</w:t>
      </w:r>
    </w:p>
    <w:p>
      <w:pPr>
        <w:pStyle w:val="122"/>
        <w:tabs>
          <w:tab w:val="left" w:pos="644"/>
          <w:tab w:val="left" w:pos="2113"/>
        </w:tabs>
        <w:spacing w:before="156" w:beforeLines="50" w:after="156" w:afterLines="50"/>
        <w:ind w:firstLine="420" w:firstLineChars="200"/>
        <w:rPr>
          <w:rFonts w:ascii="黑体" w:hAnsi="黑体" w:eastAsia="黑体" w:cs="黑体"/>
          <w:sz w:val="21"/>
          <w:szCs w:val="21"/>
        </w:rPr>
      </w:pPr>
      <w:r>
        <w:rPr>
          <w:rFonts w:hint="eastAsia" w:ascii="黑体" w:hAnsi="黑体" w:eastAsia="黑体" w:cs="黑体"/>
          <w:sz w:val="21"/>
          <w:szCs w:val="21"/>
          <w:lang w:eastAsia="zh-CN"/>
        </w:rPr>
        <w:t xml:space="preserve">电子玻璃熔炉 </w:t>
      </w:r>
      <w:r>
        <w:rPr>
          <w:rFonts w:ascii="黑体" w:hAnsi="黑体" w:eastAsia="黑体" w:cs="黑体"/>
          <w:sz w:val="21"/>
          <w:szCs w:val="21"/>
          <w:lang w:eastAsia="zh-CN"/>
        </w:rPr>
        <w:t>electronic glass furnace</w:t>
      </w:r>
    </w:p>
    <w:p>
      <w:pPr>
        <w:pStyle w:val="21"/>
        <w:spacing w:after="0"/>
        <w:ind w:firstLine="428" w:firstLineChars="200"/>
        <w:rPr>
          <w:spacing w:val="2"/>
        </w:rPr>
      </w:pPr>
      <w:r>
        <w:rPr>
          <w:rFonts w:hint="eastAsia"/>
          <w:spacing w:val="2"/>
        </w:rPr>
        <w:t>熔制电子玻璃的热工设备，包括各种型式的池炉和坩埚炉。按热源来源，可分为使用天然气、重油等燃料的熔炉（含电助熔）和全电熔炉</w:t>
      </w:r>
      <w:r>
        <w:rPr>
          <w:spacing w:val="2"/>
        </w:rPr>
        <w:t>。</w:t>
      </w:r>
    </w:p>
    <w:p>
      <w:pPr>
        <w:pStyle w:val="122"/>
        <w:tabs>
          <w:tab w:val="left" w:pos="644"/>
          <w:tab w:val="left" w:pos="2113"/>
        </w:tabs>
        <w:spacing w:before="156" w:beforeLines="50" w:after="156" w:afterLines="50"/>
        <w:rPr>
          <w:rFonts w:ascii="黑体" w:hAnsi="黑体" w:eastAsia="黑体" w:cs="黑体"/>
          <w:sz w:val="21"/>
          <w:szCs w:val="21"/>
          <w:lang w:eastAsia="zh-CN"/>
        </w:rPr>
      </w:pPr>
      <w:r>
        <w:rPr>
          <w:rFonts w:hint="eastAsia" w:ascii="黑体" w:hAnsi="黑体" w:eastAsia="黑体" w:cs="黑体"/>
          <w:sz w:val="21"/>
          <w:szCs w:val="21"/>
          <w:lang w:eastAsia="zh-CN"/>
        </w:rPr>
        <w:t>3</w:t>
      </w:r>
      <w:r>
        <w:rPr>
          <w:rFonts w:ascii="黑体" w:hAnsi="黑体" w:eastAsia="黑体" w:cs="黑体"/>
          <w:sz w:val="21"/>
          <w:szCs w:val="21"/>
          <w:lang w:eastAsia="zh-CN"/>
        </w:rPr>
        <w:t>.</w:t>
      </w:r>
      <w:r>
        <w:rPr>
          <w:rFonts w:hint="eastAsia" w:ascii="黑体" w:hAnsi="黑体" w:eastAsia="黑体" w:cs="黑体"/>
          <w:sz w:val="21"/>
          <w:szCs w:val="21"/>
          <w:lang w:eastAsia="zh-CN"/>
        </w:rPr>
        <w:t>6</w:t>
      </w:r>
    </w:p>
    <w:p>
      <w:pPr>
        <w:pStyle w:val="122"/>
        <w:tabs>
          <w:tab w:val="left" w:pos="644"/>
          <w:tab w:val="left" w:pos="2113"/>
        </w:tabs>
        <w:spacing w:before="156" w:beforeLines="50" w:after="156" w:afterLines="50"/>
        <w:ind w:firstLine="420" w:firstLineChars="200"/>
        <w:rPr>
          <w:rFonts w:ascii="黑体" w:hAnsi="黑体" w:eastAsia="黑体" w:cs="黑体"/>
          <w:sz w:val="21"/>
          <w:szCs w:val="21"/>
          <w:lang w:eastAsia="zh-CN"/>
        </w:rPr>
      </w:pPr>
      <w:r>
        <w:rPr>
          <w:rFonts w:hint="eastAsia" w:ascii="黑体" w:hAnsi="黑体" w:eastAsia="黑体" w:cs="黑体"/>
          <w:sz w:val="21"/>
          <w:szCs w:val="21"/>
          <w:lang w:eastAsia="zh-CN"/>
        </w:rPr>
        <w:t xml:space="preserve">冷修 </w:t>
      </w:r>
      <w:r>
        <w:rPr>
          <w:rFonts w:ascii="黑体" w:hAnsi="黑体" w:eastAsia="黑体" w:cs="黑体"/>
          <w:sz w:val="21"/>
          <w:szCs w:val="21"/>
          <w:lang w:eastAsia="zh-CN"/>
        </w:rPr>
        <w:t xml:space="preserve"> cold repair</w:t>
      </w:r>
    </w:p>
    <w:p>
      <w:pPr>
        <w:pStyle w:val="21"/>
        <w:spacing w:after="0"/>
        <w:ind w:firstLine="428" w:firstLineChars="200"/>
      </w:pPr>
      <w:r>
        <w:rPr>
          <w:rFonts w:hint="eastAsia"/>
          <w:spacing w:val="2"/>
        </w:rPr>
        <w:t>玻璃熔窑、熔炉停火冷却后进行大修的过程</w:t>
      </w:r>
      <w:r>
        <w:rPr>
          <w:spacing w:val="2"/>
        </w:rPr>
        <w:t>。</w:t>
      </w:r>
    </w:p>
    <w:p>
      <w:pPr>
        <w:pStyle w:val="122"/>
        <w:tabs>
          <w:tab w:val="left" w:pos="644"/>
          <w:tab w:val="left" w:pos="2113"/>
        </w:tabs>
        <w:spacing w:before="156" w:beforeLines="50" w:after="156" w:afterLines="50"/>
        <w:rPr>
          <w:rFonts w:ascii="黑体" w:hAnsi="黑体" w:eastAsia="黑体" w:cs="黑体"/>
          <w:sz w:val="21"/>
          <w:szCs w:val="21"/>
          <w:lang w:eastAsia="zh-CN"/>
        </w:rPr>
      </w:pPr>
      <w:r>
        <w:rPr>
          <w:rFonts w:hint="eastAsia" w:ascii="黑体" w:hAnsi="黑体" w:eastAsia="黑体" w:cs="黑体"/>
          <w:sz w:val="21"/>
          <w:szCs w:val="21"/>
          <w:lang w:eastAsia="zh-CN"/>
        </w:rPr>
        <w:t>3</w:t>
      </w:r>
      <w:r>
        <w:rPr>
          <w:rFonts w:ascii="黑体" w:hAnsi="黑体" w:eastAsia="黑体" w:cs="黑体"/>
          <w:sz w:val="21"/>
          <w:szCs w:val="21"/>
          <w:lang w:eastAsia="zh-CN"/>
        </w:rPr>
        <w:t>.</w:t>
      </w:r>
      <w:r>
        <w:rPr>
          <w:rFonts w:hint="eastAsia" w:ascii="黑体" w:hAnsi="黑体" w:eastAsia="黑体" w:cs="黑体"/>
          <w:sz w:val="21"/>
          <w:szCs w:val="21"/>
          <w:lang w:eastAsia="zh-CN"/>
        </w:rPr>
        <w:t>7</w:t>
      </w:r>
    </w:p>
    <w:p>
      <w:pPr>
        <w:pStyle w:val="122"/>
        <w:tabs>
          <w:tab w:val="left" w:pos="644"/>
          <w:tab w:val="left" w:pos="2113"/>
        </w:tabs>
        <w:spacing w:before="156" w:beforeLines="50" w:after="156" w:afterLines="50"/>
        <w:ind w:firstLine="420" w:firstLineChars="200"/>
        <w:rPr>
          <w:rFonts w:ascii="黑体" w:hAnsi="黑体" w:eastAsia="黑体" w:cs="黑体"/>
          <w:sz w:val="21"/>
          <w:szCs w:val="21"/>
          <w:lang w:eastAsia="zh-CN"/>
        </w:rPr>
      </w:pPr>
      <w:r>
        <w:rPr>
          <w:rFonts w:hint="eastAsia" w:ascii="黑体" w:hAnsi="黑体" w:eastAsia="黑体" w:cs="黑体"/>
          <w:sz w:val="21"/>
          <w:szCs w:val="21"/>
          <w:lang w:eastAsia="zh-CN"/>
        </w:rPr>
        <w:t>纯氧燃烧</w:t>
      </w:r>
      <w:r>
        <w:rPr>
          <w:rFonts w:ascii="黑体" w:hAnsi="黑体" w:eastAsia="黑体" w:cs="黑体"/>
          <w:sz w:val="21"/>
          <w:szCs w:val="21"/>
          <w:lang w:eastAsia="zh-CN"/>
        </w:rPr>
        <w:t xml:space="preserve">  oxygen-fuel combustion</w:t>
      </w:r>
    </w:p>
    <w:p>
      <w:pPr>
        <w:pStyle w:val="21"/>
        <w:spacing w:after="0"/>
        <w:ind w:firstLine="428" w:firstLineChars="200"/>
        <w:rPr>
          <w:spacing w:val="2"/>
        </w:rPr>
      </w:pPr>
      <w:r>
        <w:rPr>
          <w:rFonts w:hint="eastAsia"/>
          <w:spacing w:val="2"/>
        </w:rPr>
        <w:t>助燃气体含氧量大于等于90%的燃烧方式</w:t>
      </w:r>
      <w:r>
        <w:rPr>
          <w:spacing w:val="2"/>
        </w:rPr>
        <w:t>。</w:t>
      </w:r>
    </w:p>
    <w:p>
      <w:pPr>
        <w:pStyle w:val="122"/>
        <w:tabs>
          <w:tab w:val="left" w:pos="644"/>
          <w:tab w:val="left" w:pos="2113"/>
        </w:tabs>
        <w:spacing w:before="156" w:beforeLines="50" w:after="156" w:afterLines="50"/>
        <w:rPr>
          <w:rFonts w:ascii="黑体" w:hAnsi="黑体" w:eastAsia="黑体" w:cs="黑体"/>
          <w:sz w:val="21"/>
          <w:szCs w:val="21"/>
          <w:lang w:eastAsia="zh-CN"/>
        </w:rPr>
      </w:pPr>
      <w:r>
        <w:rPr>
          <w:rFonts w:hint="eastAsia" w:ascii="黑体" w:hAnsi="黑体" w:eastAsia="黑体" w:cs="黑体"/>
          <w:sz w:val="21"/>
          <w:szCs w:val="21"/>
          <w:lang w:eastAsia="zh-CN"/>
        </w:rPr>
        <w:t>3</w:t>
      </w:r>
      <w:r>
        <w:rPr>
          <w:rFonts w:ascii="黑体" w:hAnsi="黑体" w:eastAsia="黑体" w:cs="黑体"/>
          <w:sz w:val="21"/>
          <w:szCs w:val="21"/>
          <w:lang w:eastAsia="zh-CN"/>
        </w:rPr>
        <w:t>.</w:t>
      </w:r>
      <w:r>
        <w:rPr>
          <w:rFonts w:hint="eastAsia" w:ascii="黑体" w:hAnsi="黑体" w:eastAsia="黑体" w:cs="黑体"/>
          <w:sz w:val="21"/>
          <w:szCs w:val="21"/>
          <w:lang w:eastAsia="zh-CN"/>
        </w:rPr>
        <w:t>8</w:t>
      </w:r>
    </w:p>
    <w:p>
      <w:pPr>
        <w:pStyle w:val="122"/>
        <w:tabs>
          <w:tab w:val="left" w:pos="644"/>
          <w:tab w:val="left" w:pos="2113"/>
        </w:tabs>
        <w:spacing w:before="156" w:beforeLines="50" w:after="156" w:afterLines="50"/>
        <w:rPr>
          <w:rFonts w:ascii="黑体" w:hAnsi="黑体" w:eastAsia="黑体" w:cs="黑体"/>
          <w:sz w:val="21"/>
          <w:szCs w:val="21"/>
          <w:lang w:eastAsia="zh-CN"/>
        </w:rPr>
      </w:pPr>
      <w:r>
        <w:rPr>
          <w:rFonts w:ascii="黑体" w:hAnsi="黑体" w:eastAsia="黑体" w:cs="黑体"/>
          <w:sz w:val="21"/>
          <w:szCs w:val="21"/>
          <w:lang w:eastAsia="zh-CN"/>
        </w:rPr>
        <w:t xml:space="preserve">    </w:t>
      </w:r>
      <w:r>
        <w:rPr>
          <w:rFonts w:hint="eastAsia" w:ascii="黑体" w:hAnsi="黑体" w:eastAsia="黑体" w:cs="黑体"/>
          <w:sz w:val="21"/>
          <w:szCs w:val="21"/>
          <w:lang w:eastAsia="zh-CN"/>
        </w:rPr>
        <w:t xml:space="preserve">大气污染物排放浓度 </w:t>
      </w:r>
      <w:r>
        <w:rPr>
          <w:rFonts w:ascii="黑体" w:hAnsi="黑体" w:eastAsia="黑体" w:cs="黑体"/>
          <w:sz w:val="21"/>
          <w:szCs w:val="21"/>
          <w:lang w:eastAsia="zh-CN"/>
        </w:rPr>
        <w:t xml:space="preserve"> emission concentration of air pollutants</w:t>
      </w:r>
    </w:p>
    <w:p>
      <w:pPr>
        <w:pStyle w:val="21"/>
        <w:spacing w:after="0"/>
        <w:ind w:firstLine="428" w:firstLineChars="200"/>
        <w:rPr>
          <w:spacing w:val="2"/>
        </w:rPr>
      </w:pPr>
      <w:r>
        <w:rPr>
          <w:rFonts w:hint="eastAsia"/>
          <w:spacing w:val="2"/>
        </w:rPr>
        <w:t>温度273</w:t>
      </w:r>
      <w:r>
        <w:rPr>
          <w:spacing w:val="2"/>
        </w:rPr>
        <w:t>K</w:t>
      </w:r>
      <w:r>
        <w:rPr>
          <w:rFonts w:hint="eastAsia"/>
          <w:spacing w:val="2"/>
        </w:rPr>
        <w:t>，压力101.3k</w:t>
      </w:r>
      <w:r>
        <w:rPr>
          <w:spacing w:val="2"/>
        </w:rPr>
        <w:t>Pa</w:t>
      </w:r>
      <w:r>
        <w:rPr>
          <w:rFonts w:hint="eastAsia"/>
          <w:spacing w:val="2"/>
        </w:rPr>
        <w:t>状态下，排气筒干燥排气中大气污染物任何1h浓度平均值，单位为m</w:t>
      </w:r>
      <w:r>
        <w:rPr>
          <w:spacing w:val="2"/>
        </w:rPr>
        <w:t>g/m</w:t>
      </w:r>
      <w:r>
        <w:rPr>
          <w:spacing w:val="2"/>
          <w:vertAlign w:val="superscript"/>
        </w:rPr>
        <w:t>3</w:t>
      </w:r>
      <w:r>
        <w:rPr>
          <w:rFonts w:hint="eastAsia"/>
          <w:spacing w:val="2"/>
        </w:rPr>
        <w:t>。</w:t>
      </w:r>
    </w:p>
    <w:p>
      <w:pPr>
        <w:pStyle w:val="122"/>
        <w:tabs>
          <w:tab w:val="left" w:pos="644"/>
          <w:tab w:val="left" w:pos="2113"/>
        </w:tabs>
        <w:spacing w:before="156" w:beforeLines="50" w:after="156" w:afterLines="50"/>
        <w:rPr>
          <w:rFonts w:ascii="黑体" w:hAnsi="黑体" w:eastAsia="黑体" w:cs="黑体"/>
          <w:sz w:val="21"/>
          <w:szCs w:val="21"/>
          <w:lang w:eastAsia="zh-CN"/>
        </w:rPr>
      </w:pPr>
      <w:r>
        <w:rPr>
          <w:rFonts w:hint="eastAsia" w:ascii="黑体" w:hAnsi="黑体" w:eastAsia="黑体" w:cs="黑体"/>
          <w:sz w:val="21"/>
          <w:szCs w:val="21"/>
          <w:lang w:eastAsia="zh-CN"/>
        </w:rPr>
        <w:t>3</w:t>
      </w:r>
      <w:r>
        <w:rPr>
          <w:rFonts w:ascii="黑体" w:hAnsi="黑体" w:eastAsia="黑体" w:cs="黑体"/>
          <w:sz w:val="21"/>
          <w:szCs w:val="21"/>
          <w:lang w:eastAsia="zh-CN"/>
        </w:rPr>
        <w:t>.</w:t>
      </w:r>
      <w:r>
        <w:rPr>
          <w:rFonts w:hint="eastAsia" w:ascii="黑体" w:hAnsi="黑体" w:eastAsia="黑体" w:cs="黑体"/>
          <w:sz w:val="21"/>
          <w:szCs w:val="21"/>
          <w:lang w:eastAsia="zh-CN"/>
        </w:rPr>
        <w:t>9</w:t>
      </w:r>
    </w:p>
    <w:p>
      <w:pPr>
        <w:pStyle w:val="122"/>
        <w:tabs>
          <w:tab w:val="left" w:pos="644"/>
          <w:tab w:val="left" w:pos="2113"/>
        </w:tabs>
        <w:spacing w:before="156" w:beforeLines="50" w:after="156" w:afterLines="50"/>
        <w:ind w:firstLine="420" w:firstLineChars="200"/>
        <w:rPr>
          <w:rFonts w:ascii="黑体" w:hAnsi="黑体" w:eastAsia="黑体" w:cs="黑体"/>
          <w:sz w:val="21"/>
          <w:szCs w:val="21"/>
          <w:lang w:eastAsia="zh-CN"/>
        </w:rPr>
      </w:pPr>
      <w:r>
        <w:rPr>
          <w:rFonts w:ascii="黑体" w:hAnsi="黑体" w:eastAsia="黑体" w:cs="黑体"/>
          <w:sz w:val="21"/>
          <w:szCs w:val="21"/>
          <w:lang w:eastAsia="zh-CN"/>
        </w:rPr>
        <w:t>排气筒高度  stack height</w:t>
      </w:r>
    </w:p>
    <w:p>
      <w:pPr>
        <w:pStyle w:val="21"/>
        <w:spacing w:after="0"/>
        <w:ind w:firstLine="428" w:firstLineChars="200"/>
        <w:rPr>
          <w:spacing w:val="2"/>
        </w:rPr>
      </w:pPr>
      <w:r>
        <w:rPr>
          <w:spacing w:val="2"/>
        </w:rPr>
        <w:t>自排气筒（或其主体建筑构造）所在的地平面至排气筒出口计的高度</w:t>
      </w:r>
      <w:r>
        <w:rPr>
          <w:rFonts w:hint="eastAsia"/>
          <w:spacing w:val="2"/>
        </w:rPr>
        <w:t>，单位为m</w:t>
      </w:r>
      <w:r>
        <w:rPr>
          <w:spacing w:val="2"/>
        </w:rPr>
        <w:t>。</w:t>
      </w:r>
    </w:p>
    <w:p>
      <w:pPr>
        <w:pStyle w:val="122"/>
        <w:tabs>
          <w:tab w:val="left" w:pos="644"/>
          <w:tab w:val="left" w:pos="2113"/>
        </w:tabs>
        <w:spacing w:before="156" w:beforeLines="50" w:after="156" w:afterLines="50"/>
        <w:rPr>
          <w:rFonts w:ascii="黑体" w:hAnsi="黑体" w:eastAsia="黑体" w:cs="黑体"/>
          <w:sz w:val="21"/>
          <w:szCs w:val="21"/>
          <w:lang w:eastAsia="zh-CN"/>
        </w:rPr>
      </w:pPr>
      <w:r>
        <w:rPr>
          <w:rFonts w:hint="eastAsia" w:ascii="黑体" w:hAnsi="黑体" w:eastAsia="黑体" w:cs="黑体"/>
          <w:sz w:val="21"/>
          <w:szCs w:val="21"/>
          <w:lang w:eastAsia="zh-CN"/>
        </w:rPr>
        <w:t>3</w:t>
      </w:r>
      <w:r>
        <w:rPr>
          <w:rFonts w:ascii="黑体" w:hAnsi="黑体" w:eastAsia="黑体" w:cs="黑体"/>
          <w:sz w:val="21"/>
          <w:szCs w:val="21"/>
          <w:lang w:eastAsia="zh-CN"/>
        </w:rPr>
        <w:t>.</w:t>
      </w:r>
      <w:r>
        <w:rPr>
          <w:rFonts w:hint="eastAsia" w:ascii="黑体" w:hAnsi="黑体" w:eastAsia="黑体" w:cs="黑体"/>
          <w:sz w:val="21"/>
          <w:szCs w:val="21"/>
          <w:lang w:eastAsia="zh-CN"/>
        </w:rPr>
        <w:t>10</w:t>
      </w:r>
    </w:p>
    <w:p>
      <w:pPr>
        <w:pStyle w:val="122"/>
        <w:tabs>
          <w:tab w:val="left" w:pos="644"/>
          <w:tab w:val="left" w:pos="2113"/>
        </w:tabs>
        <w:spacing w:before="156" w:beforeLines="50" w:after="156" w:afterLines="50"/>
        <w:ind w:firstLine="420" w:firstLineChars="200"/>
        <w:rPr>
          <w:rFonts w:ascii="黑体" w:hAnsi="黑体" w:eastAsia="黑体" w:cs="黑体"/>
          <w:sz w:val="21"/>
          <w:szCs w:val="21"/>
          <w:lang w:eastAsia="zh-CN"/>
        </w:rPr>
      </w:pPr>
      <w:r>
        <w:rPr>
          <w:rFonts w:hint="eastAsia" w:ascii="黑体" w:hAnsi="黑体" w:eastAsia="黑体" w:cs="黑体"/>
          <w:sz w:val="21"/>
          <w:szCs w:val="21"/>
          <w:lang w:eastAsia="zh-CN"/>
        </w:rPr>
        <w:t xml:space="preserve">无组织排放 </w:t>
      </w:r>
      <w:r>
        <w:rPr>
          <w:rFonts w:ascii="黑体" w:hAnsi="黑体" w:eastAsia="黑体" w:cs="黑体"/>
          <w:sz w:val="21"/>
          <w:szCs w:val="21"/>
          <w:lang w:eastAsia="zh-CN"/>
        </w:rPr>
        <w:t xml:space="preserve"> fugitive emission</w:t>
      </w:r>
    </w:p>
    <w:p>
      <w:pPr>
        <w:pStyle w:val="21"/>
        <w:spacing w:after="0"/>
        <w:ind w:firstLine="428" w:firstLineChars="200"/>
        <w:rPr>
          <w:spacing w:val="2"/>
        </w:rPr>
      </w:pPr>
      <w:r>
        <w:rPr>
          <w:rFonts w:hint="eastAsia"/>
          <w:spacing w:val="2"/>
        </w:rPr>
        <w:t>大气污染物不经过排气筒的无规则排放，主要包括作业场所物料堆放、开放式输送扬尘，以及设备、管线含尘气体泄漏等</w:t>
      </w:r>
      <w:r>
        <w:rPr>
          <w:spacing w:val="2"/>
        </w:rPr>
        <w:t>。</w:t>
      </w:r>
    </w:p>
    <w:p>
      <w:pPr>
        <w:pStyle w:val="122"/>
        <w:tabs>
          <w:tab w:val="left" w:pos="644"/>
          <w:tab w:val="left" w:pos="2113"/>
        </w:tabs>
        <w:spacing w:before="156" w:beforeLines="50" w:after="156" w:afterLines="50"/>
        <w:rPr>
          <w:rFonts w:ascii="黑体" w:hAnsi="黑体" w:eastAsia="黑体" w:cs="黑体"/>
          <w:sz w:val="21"/>
          <w:szCs w:val="21"/>
          <w:lang w:eastAsia="zh-CN"/>
        </w:rPr>
      </w:pPr>
      <w:r>
        <w:rPr>
          <w:rFonts w:hint="eastAsia" w:ascii="黑体" w:hAnsi="黑体" w:eastAsia="黑体" w:cs="黑体"/>
          <w:sz w:val="21"/>
          <w:szCs w:val="21"/>
          <w:lang w:eastAsia="zh-CN"/>
        </w:rPr>
        <w:t>3</w:t>
      </w:r>
      <w:r>
        <w:rPr>
          <w:rFonts w:ascii="黑体" w:hAnsi="黑体" w:eastAsia="黑体" w:cs="黑体"/>
          <w:sz w:val="21"/>
          <w:szCs w:val="21"/>
          <w:lang w:eastAsia="zh-CN"/>
        </w:rPr>
        <w:t>.1</w:t>
      </w:r>
      <w:r>
        <w:rPr>
          <w:rFonts w:hint="eastAsia" w:ascii="黑体" w:hAnsi="黑体" w:eastAsia="黑体" w:cs="黑体"/>
          <w:sz w:val="21"/>
          <w:szCs w:val="21"/>
          <w:lang w:eastAsia="zh-CN"/>
        </w:rPr>
        <w:t>1</w:t>
      </w:r>
    </w:p>
    <w:p>
      <w:pPr>
        <w:pStyle w:val="122"/>
        <w:tabs>
          <w:tab w:val="left" w:pos="644"/>
          <w:tab w:val="left" w:pos="2113"/>
        </w:tabs>
        <w:spacing w:before="156" w:beforeLines="50" w:after="156" w:afterLines="50"/>
        <w:ind w:firstLine="420" w:firstLineChars="200"/>
        <w:rPr>
          <w:rFonts w:ascii="黑体" w:hAnsi="黑体" w:eastAsia="黑体" w:cs="黑体"/>
          <w:sz w:val="21"/>
          <w:szCs w:val="21"/>
          <w:lang w:eastAsia="zh-CN"/>
        </w:rPr>
      </w:pPr>
      <w:r>
        <w:rPr>
          <w:rFonts w:hint="eastAsia" w:ascii="黑体" w:hAnsi="黑体" w:eastAsia="黑体" w:cs="黑体"/>
          <w:sz w:val="21"/>
          <w:szCs w:val="21"/>
          <w:lang w:eastAsia="zh-CN"/>
        </w:rPr>
        <w:t xml:space="preserve">无组织排放监控点浓度限值 </w:t>
      </w:r>
      <w:r>
        <w:rPr>
          <w:rFonts w:ascii="黑体" w:hAnsi="黑体" w:eastAsia="黑体" w:cs="黑体"/>
          <w:sz w:val="21"/>
          <w:szCs w:val="21"/>
          <w:lang w:eastAsia="zh-CN"/>
        </w:rPr>
        <w:t xml:space="preserve"> concentration limit at fugitive emission reference point</w:t>
      </w:r>
    </w:p>
    <w:p>
      <w:pPr>
        <w:autoSpaceDE w:val="0"/>
        <w:autoSpaceDN w:val="0"/>
        <w:adjustRightInd w:val="0"/>
        <w:ind w:firstLine="420" w:firstLineChars="200"/>
        <w:jc w:val="left"/>
      </w:pPr>
      <w:r>
        <w:rPr>
          <w:rFonts w:hint="eastAsia" w:ascii="宋体" w:cs="宋体"/>
          <w:kern w:val="0"/>
          <w:szCs w:val="21"/>
        </w:rPr>
        <w:t>温度</w:t>
      </w:r>
      <w:r>
        <w:rPr>
          <w:rFonts w:ascii="宋体" w:cs="宋体"/>
          <w:kern w:val="0"/>
          <w:szCs w:val="21"/>
        </w:rPr>
        <w:t>273K</w:t>
      </w:r>
      <w:r>
        <w:rPr>
          <w:rFonts w:hint="eastAsia" w:ascii="宋体" w:cs="宋体"/>
          <w:kern w:val="0"/>
          <w:szCs w:val="21"/>
        </w:rPr>
        <w:t>，压力</w:t>
      </w:r>
      <w:r>
        <w:rPr>
          <w:rFonts w:hint="eastAsia"/>
          <w:spacing w:val="2"/>
        </w:rPr>
        <w:t>101.3k</w:t>
      </w:r>
      <w:r>
        <w:rPr>
          <w:spacing w:val="2"/>
        </w:rPr>
        <w:t>Pa</w:t>
      </w:r>
      <w:r>
        <w:rPr>
          <w:rFonts w:hint="eastAsia"/>
          <w:spacing w:val="2"/>
        </w:rPr>
        <w:t>状态</w:t>
      </w:r>
      <w:r>
        <w:rPr>
          <w:rFonts w:hint="eastAsia" w:ascii="宋体" w:cs="宋体"/>
          <w:kern w:val="0"/>
          <w:szCs w:val="21"/>
        </w:rPr>
        <w:t>下，监控点（根据</w:t>
      </w:r>
      <w:r>
        <w:rPr>
          <w:rFonts w:ascii="宋体" w:cs="宋体"/>
          <w:kern w:val="0"/>
          <w:szCs w:val="21"/>
        </w:rPr>
        <w:t>HJ/T 55</w:t>
      </w:r>
      <w:r>
        <w:rPr>
          <w:rFonts w:hint="eastAsia" w:ascii="宋体" w:cs="宋体"/>
          <w:kern w:val="0"/>
          <w:szCs w:val="21"/>
        </w:rPr>
        <w:t>确定）的大气污染物浓度在</w:t>
      </w:r>
      <w:r>
        <w:rPr>
          <w:rFonts w:hint="eastAsia"/>
          <w:spacing w:val="2"/>
        </w:rPr>
        <w:t>任何1h的平均值不得超过的值，单位为m</w:t>
      </w:r>
      <w:r>
        <w:rPr>
          <w:spacing w:val="2"/>
        </w:rPr>
        <w:t>g/m</w:t>
      </w:r>
      <w:r>
        <w:rPr>
          <w:spacing w:val="2"/>
          <w:vertAlign w:val="superscript"/>
        </w:rPr>
        <w:t>3</w:t>
      </w:r>
      <w:r>
        <w:rPr>
          <w:rFonts w:hint="eastAsia"/>
          <w:spacing w:val="2"/>
        </w:rPr>
        <w:t>。</w:t>
      </w:r>
    </w:p>
    <w:p>
      <w:pPr>
        <w:pStyle w:val="122"/>
        <w:tabs>
          <w:tab w:val="left" w:pos="644"/>
          <w:tab w:val="left" w:pos="2113"/>
        </w:tabs>
        <w:spacing w:before="156" w:beforeLines="50" w:after="156" w:afterLines="50"/>
        <w:rPr>
          <w:rFonts w:ascii="黑体" w:hAnsi="黑体" w:eastAsia="黑体" w:cs="黑体"/>
          <w:sz w:val="21"/>
          <w:szCs w:val="21"/>
          <w:lang w:eastAsia="zh-CN"/>
        </w:rPr>
      </w:pPr>
      <w:r>
        <w:rPr>
          <w:rFonts w:hint="eastAsia" w:ascii="黑体" w:hAnsi="黑体" w:eastAsia="黑体" w:cs="黑体"/>
          <w:sz w:val="21"/>
          <w:szCs w:val="21"/>
          <w:lang w:eastAsia="zh-CN"/>
        </w:rPr>
        <w:t>3</w:t>
      </w:r>
      <w:r>
        <w:rPr>
          <w:rFonts w:ascii="黑体" w:hAnsi="黑体" w:eastAsia="黑体" w:cs="黑体"/>
          <w:sz w:val="21"/>
          <w:szCs w:val="21"/>
          <w:lang w:eastAsia="zh-CN"/>
        </w:rPr>
        <w:t>.1</w:t>
      </w:r>
      <w:r>
        <w:rPr>
          <w:rFonts w:hint="eastAsia" w:ascii="黑体" w:hAnsi="黑体" w:eastAsia="黑体" w:cs="黑体"/>
          <w:sz w:val="21"/>
          <w:szCs w:val="21"/>
          <w:lang w:eastAsia="zh-CN"/>
        </w:rPr>
        <w:t>2</w:t>
      </w:r>
    </w:p>
    <w:p>
      <w:pPr>
        <w:pStyle w:val="122"/>
        <w:tabs>
          <w:tab w:val="left" w:pos="644"/>
          <w:tab w:val="left" w:pos="2113"/>
        </w:tabs>
        <w:spacing w:before="156" w:beforeLines="50" w:after="156" w:afterLines="50"/>
        <w:ind w:firstLine="420" w:firstLineChars="200"/>
        <w:rPr>
          <w:rFonts w:ascii="黑体" w:hAnsi="黑体" w:eastAsia="黑体" w:cs="黑体"/>
          <w:sz w:val="21"/>
          <w:szCs w:val="21"/>
        </w:rPr>
      </w:pPr>
      <w:r>
        <w:rPr>
          <w:rFonts w:ascii="黑体" w:hAnsi="黑体" w:eastAsia="黑体" w:cs="黑体"/>
          <w:sz w:val="21"/>
          <w:szCs w:val="21"/>
          <w:lang w:eastAsia="zh-CN"/>
        </w:rPr>
        <w:t>现有企业  existing facility</w:t>
      </w:r>
    </w:p>
    <w:p>
      <w:pPr>
        <w:pStyle w:val="21"/>
        <w:spacing w:after="0"/>
        <w:ind w:firstLine="428" w:firstLineChars="200"/>
        <w:rPr>
          <w:spacing w:val="2"/>
        </w:rPr>
      </w:pPr>
      <w:r>
        <w:rPr>
          <w:spacing w:val="2"/>
        </w:rPr>
        <w:t>本标准实施之日前已建成投产或环境影响评价文件已通过审批的</w:t>
      </w:r>
      <w:r>
        <w:rPr>
          <w:rFonts w:hint="eastAsia" w:ascii="宋体"/>
          <w:color w:val="000000" w:themeColor="text1"/>
          <w:kern w:val="0"/>
          <w:szCs w:val="20"/>
          <w14:textFill>
            <w14:solidFill>
              <w14:schemeClr w14:val="tx1"/>
            </w14:solidFill>
          </w14:textFill>
        </w:rPr>
        <w:t>玻璃制造企业</w:t>
      </w:r>
      <w:r>
        <w:rPr>
          <w:spacing w:val="2"/>
        </w:rPr>
        <w:t>或生产设施。</w:t>
      </w:r>
    </w:p>
    <w:p>
      <w:pPr>
        <w:pStyle w:val="122"/>
        <w:tabs>
          <w:tab w:val="left" w:pos="644"/>
          <w:tab w:val="left" w:pos="2113"/>
        </w:tabs>
        <w:spacing w:before="156" w:beforeLines="50" w:after="156" w:afterLines="50"/>
        <w:rPr>
          <w:rFonts w:ascii="黑体" w:hAnsi="黑体" w:eastAsia="黑体" w:cs="黑体"/>
          <w:sz w:val="21"/>
          <w:szCs w:val="21"/>
          <w:lang w:eastAsia="zh-CN"/>
        </w:rPr>
      </w:pPr>
      <w:r>
        <w:rPr>
          <w:rFonts w:hint="eastAsia" w:ascii="黑体" w:hAnsi="黑体" w:eastAsia="黑体" w:cs="黑体"/>
          <w:sz w:val="21"/>
          <w:szCs w:val="21"/>
          <w:lang w:eastAsia="zh-CN"/>
        </w:rPr>
        <w:t>3</w:t>
      </w:r>
      <w:r>
        <w:rPr>
          <w:rFonts w:ascii="黑体" w:hAnsi="黑体" w:eastAsia="黑体" w:cs="黑体"/>
          <w:sz w:val="21"/>
          <w:szCs w:val="21"/>
          <w:lang w:eastAsia="zh-CN"/>
        </w:rPr>
        <w:t>.1</w:t>
      </w:r>
      <w:r>
        <w:rPr>
          <w:rFonts w:hint="eastAsia" w:ascii="黑体" w:hAnsi="黑体" w:eastAsia="黑体" w:cs="黑体"/>
          <w:sz w:val="21"/>
          <w:szCs w:val="21"/>
          <w:lang w:eastAsia="zh-CN"/>
        </w:rPr>
        <w:t>3</w:t>
      </w:r>
    </w:p>
    <w:p>
      <w:pPr>
        <w:pStyle w:val="122"/>
        <w:tabs>
          <w:tab w:val="left" w:pos="644"/>
          <w:tab w:val="left" w:pos="2113"/>
        </w:tabs>
        <w:spacing w:before="156" w:beforeLines="50" w:after="156" w:afterLines="50"/>
        <w:ind w:firstLine="420" w:firstLineChars="200"/>
        <w:rPr>
          <w:rFonts w:ascii="黑体" w:hAnsi="黑体" w:eastAsia="黑体" w:cs="黑体"/>
          <w:sz w:val="21"/>
          <w:szCs w:val="21"/>
          <w:lang w:eastAsia="zh-CN"/>
        </w:rPr>
      </w:pPr>
      <w:r>
        <w:rPr>
          <w:rFonts w:ascii="黑体" w:hAnsi="黑体" w:eastAsia="黑体" w:cs="黑体"/>
          <w:sz w:val="21"/>
          <w:szCs w:val="21"/>
          <w:lang w:eastAsia="zh-CN"/>
        </w:rPr>
        <w:t>新建企业  new facility</w:t>
      </w:r>
    </w:p>
    <w:p>
      <w:pPr>
        <w:pStyle w:val="21"/>
        <w:spacing w:after="0"/>
        <w:ind w:firstLine="428" w:firstLineChars="200"/>
        <w:rPr>
          <w:spacing w:val="2"/>
        </w:rPr>
      </w:pPr>
      <w:r>
        <w:rPr>
          <w:spacing w:val="2"/>
        </w:rPr>
        <w:t>自本标准实施之日起环境影响评价文件通过审批的新建、改建和扩建</w:t>
      </w:r>
      <w:r>
        <w:rPr>
          <w:rFonts w:hint="eastAsia" w:ascii="宋体"/>
          <w:color w:val="000000" w:themeColor="text1"/>
          <w:kern w:val="0"/>
          <w:szCs w:val="20"/>
          <w14:textFill>
            <w14:solidFill>
              <w14:schemeClr w14:val="tx1"/>
            </w14:solidFill>
          </w14:textFill>
        </w:rPr>
        <w:t>玻璃工业</w:t>
      </w:r>
      <w:r>
        <w:rPr>
          <w:spacing w:val="2"/>
        </w:rPr>
        <w:t>建设项目</w:t>
      </w:r>
      <w:bookmarkEnd w:id="5"/>
      <w:r>
        <w:rPr>
          <w:rFonts w:hint="eastAsia"/>
          <w:spacing w:val="2"/>
        </w:rPr>
        <w:t>。</w:t>
      </w:r>
    </w:p>
    <w:p>
      <w:pPr>
        <w:pStyle w:val="2"/>
        <w:spacing w:before="312" w:after="312"/>
      </w:pPr>
      <w:r>
        <w:t xml:space="preserve">4 </w:t>
      </w:r>
      <w:r>
        <w:rPr>
          <w:rFonts w:hint="eastAsia"/>
        </w:rPr>
        <w:t>大气污染物排放控制要求</w:t>
      </w:r>
    </w:p>
    <w:p>
      <w:pPr>
        <w:tabs>
          <w:tab w:val="left" w:pos="644"/>
          <w:tab w:val="left" w:pos="2113"/>
        </w:tabs>
        <w:spacing w:before="156" w:beforeLines="50" w:after="156" w:afterLines="50"/>
        <w:rPr>
          <w:rFonts w:ascii="黑体" w:hAnsi="黑体" w:eastAsia="黑体" w:cs="黑体"/>
          <w:szCs w:val="21"/>
        </w:rPr>
      </w:pPr>
      <w:r>
        <w:rPr>
          <w:rFonts w:hint="eastAsia" w:ascii="黑体" w:hAnsi="黑体" w:eastAsia="黑体" w:cs="黑体"/>
          <w:szCs w:val="21"/>
        </w:rPr>
        <w:t>4</w:t>
      </w:r>
      <w:r>
        <w:rPr>
          <w:rFonts w:ascii="黑体" w:hAnsi="黑体" w:eastAsia="黑体" w:cs="黑体"/>
          <w:szCs w:val="21"/>
        </w:rPr>
        <w:t xml:space="preserve">.1 </w:t>
      </w:r>
      <w:r>
        <w:rPr>
          <w:rFonts w:hint="eastAsia" w:ascii="黑体" w:hAnsi="黑体" w:eastAsia="黑体" w:cs="黑体"/>
          <w:szCs w:val="21"/>
        </w:rPr>
        <w:t>大气污染物排放限值</w:t>
      </w:r>
    </w:p>
    <w:p>
      <w:pPr>
        <w:pStyle w:val="21"/>
        <w:tabs>
          <w:tab w:val="left" w:pos="953"/>
        </w:tabs>
        <w:spacing w:before="50" w:after="50"/>
        <w:ind w:right="232"/>
      </w:pPr>
      <w:r>
        <w:rPr>
          <w:rFonts w:hint="eastAsia" w:ascii="黑体" w:hAnsi="黑体" w:eastAsia="黑体" w:cs="黑体"/>
          <w:kern w:val="0"/>
          <w:szCs w:val="21"/>
        </w:rPr>
        <w:t>4</w:t>
      </w:r>
      <w:r>
        <w:rPr>
          <w:rFonts w:ascii="黑体" w:hAnsi="黑体" w:eastAsia="黑体" w:cs="黑体"/>
          <w:kern w:val="0"/>
          <w:szCs w:val="21"/>
        </w:rPr>
        <w:t xml:space="preserve">.1.1  </w:t>
      </w:r>
      <w:r>
        <w:t>自</w:t>
      </w:r>
      <w:r>
        <w:rPr>
          <w:spacing w:val="-52"/>
        </w:rPr>
        <w:t xml:space="preserve"> </w:t>
      </w:r>
      <w:r>
        <w:rPr>
          <w:rFonts w:eastAsia="Times New Roman"/>
        </w:rPr>
        <w:t>2019</w:t>
      </w:r>
      <w:r>
        <w:rPr>
          <w:rFonts w:eastAsia="Times New Roman"/>
          <w:spacing w:val="-1"/>
        </w:rPr>
        <w:t xml:space="preserve"> </w:t>
      </w:r>
      <w:r>
        <w:t>年</w:t>
      </w:r>
      <w:r>
        <w:rPr>
          <w:rFonts w:eastAsia="Times New Roman"/>
        </w:rPr>
        <w:t>XX</w:t>
      </w:r>
      <w:r>
        <w:t>月XX日起</w:t>
      </w:r>
      <w:r>
        <w:rPr>
          <w:rFonts w:hint="eastAsia"/>
        </w:rPr>
        <w:t>，</w:t>
      </w:r>
      <w:r>
        <w:t>现有企业执行表</w:t>
      </w:r>
      <w:r>
        <w:rPr>
          <w:spacing w:val="-52"/>
        </w:rPr>
        <w:t xml:space="preserve"> </w:t>
      </w:r>
      <w:r>
        <w:rPr>
          <w:rFonts w:hint="eastAsia"/>
        </w:rPr>
        <w:t>1</w:t>
      </w:r>
      <w:r>
        <w:t>规定的大气污染物排放限值。</w:t>
      </w:r>
    </w:p>
    <w:p>
      <w:pPr>
        <w:pStyle w:val="54"/>
        <w:spacing w:before="156" w:beforeLines="50" w:after="156" w:afterLines="50"/>
        <w:jc w:val="left"/>
      </w:pPr>
      <w:r>
        <w:rPr>
          <w:rFonts w:hint="eastAsia" w:hAnsi="黑体" w:cs="黑体"/>
          <w:szCs w:val="21"/>
        </w:rPr>
        <w:t>4</w:t>
      </w:r>
      <w:r>
        <w:rPr>
          <w:rFonts w:hAnsi="黑体" w:cs="黑体"/>
          <w:szCs w:val="21"/>
        </w:rPr>
        <w:t xml:space="preserve">.1.2  </w:t>
      </w:r>
      <w:r>
        <w:rPr>
          <w:rFonts w:ascii="Times New Roman" w:eastAsia="宋体"/>
          <w:kern w:val="2"/>
          <w:szCs w:val="24"/>
        </w:rPr>
        <w:t>自</w:t>
      </w:r>
      <w:r>
        <w:rPr>
          <w:rFonts w:hint="eastAsia" w:ascii="Times New Roman" w:eastAsia="宋体"/>
          <w:kern w:val="2"/>
          <w:szCs w:val="24"/>
        </w:rPr>
        <w:t>标准实施之日</w:t>
      </w:r>
      <w:r>
        <w:rPr>
          <w:rFonts w:ascii="Times New Roman" w:eastAsia="宋体"/>
          <w:kern w:val="2"/>
          <w:szCs w:val="24"/>
        </w:rPr>
        <w:t>起</w:t>
      </w:r>
      <w:r>
        <w:rPr>
          <w:rFonts w:hint="eastAsia" w:ascii="Times New Roman" w:eastAsia="宋体"/>
          <w:kern w:val="2"/>
          <w:szCs w:val="24"/>
        </w:rPr>
        <w:t>，新建企业</w:t>
      </w:r>
      <w:r>
        <w:rPr>
          <w:rFonts w:ascii="Times New Roman" w:eastAsia="宋体"/>
          <w:kern w:val="2"/>
          <w:szCs w:val="24"/>
        </w:rPr>
        <w:t>执行表</w:t>
      </w:r>
      <w:r>
        <w:rPr>
          <w:rFonts w:hint="eastAsia" w:ascii="Times New Roman" w:eastAsia="宋体"/>
          <w:kern w:val="2"/>
          <w:szCs w:val="24"/>
        </w:rPr>
        <w:t>1</w:t>
      </w:r>
      <w:r>
        <w:rPr>
          <w:rFonts w:ascii="Times New Roman" w:eastAsia="宋体"/>
          <w:kern w:val="2"/>
          <w:szCs w:val="24"/>
        </w:rPr>
        <w:t>规定的大气污染物排放限值。</w:t>
      </w:r>
    </w:p>
    <w:p>
      <w:pPr>
        <w:pStyle w:val="21"/>
        <w:tabs>
          <w:tab w:val="left" w:pos="525"/>
        </w:tabs>
        <w:spacing w:after="0"/>
        <w:ind w:right="15"/>
        <w:jc w:val="center"/>
        <w:rPr>
          <w:rFonts w:ascii="黑体" w:hAnsi="黑体" w:eastAsia="黑体" w:cs="黑体"/>
        </w:rPr>
      </w:pPr>
      <w:r>
        <w:rPr>
          <w:rFonts w:ascii="黑体" w:hAnsi="黑体" w:eastAsia="黑体" w:cs="黑体"/>
        </w:rPr>
        <w:t>表</w:t>
      </w:r>
      <w:r>
        <w:rPr>
          <w:rFonts w:hint="eastAsia" w:ascii="黑体" w:hAnsi="黑体" w:eastAsia="黑体" w:cs="黑体"/>
        </w:rPr>
        <w:t>1</w:t>
      </w:r>
      <w:r>
        <w:rPr>
          <w:rFonts w:ascii="黑体" w:hAnsi="黑体" w:eastAsia="黑体" w:cs="黑体"/>
        </w:rPr>
        <w:t xml:space="preserve">  大气污染物排放限值</w:t>
      </w:r>
    </w:p>
    <w:p>
      <w:pPr>
        <w:pStyle w:val="21"/>
        <w:tabs>
          <w:tab w:val="left" w:pos="525"/>
        </w:tabs>
        <w:spacing w:after="0"/>
        <w:ind w:right="15"/>
        <w:jc w:val="right"/>
        <w:rPr>
          <w:rFonts w:ascii="黑体" w:hAnsi="黑体" w:eastAsia="黑体" w:cs="黑体"/>
        </w:rPr>
      </w:pPr>
      <w:r>
        <w:rPr>
          <w:rFonts w:ascii="宋体" w:hAnsi="宋体" w:cs="宋体"/>
          <w:spacing w:val="-1"/>
          <w:sz w:val="18"/>
          <w:szCs w:val="18"/>
        </w:rPr>
        <w:t>单位：</w:t>
      </w:r>
      <w:r>
        <w:rPr>
          <w:rFonts w:eastAsia="Times New Roman"/>
          <w:spacing w:val="-1"/>
          <w:sz w:val="18"/>
          <w:szCs w:val="18"/>
        </w:rPr>
        <w:t>mg/m</w:t>
      </w:r>
      <w:r>
        <w:rPr>
          <w:rFonts w:eastAsia="Times New Roman"/>
          <w:spacing w:val="-1"/>
          <w:position w:val="8"/>
          <w:sz w:val="12"/>
          <w:szCs w:val="12"/>
        </w:rPr>
        <w:t>3</w:t>
      </w:r>
      <w:r>
        <w:rPr>
          <w:rFonts w:ascii="宋体" w:hAnsi="宋体" w:cs="宋体"/>
          <w:spacing w:val="-1"/>
          <w:sz w:val="18"/>
          <w:szCs w:val="18"/>
        </w:rPr>
        <w:t>（烟气黑度除外）</w:t>
      </w:r>
    </w:p>
    <w:tbl>
      <w:tblPr>
        <w:tblStyle w:val="120"/>
        <w:tblW w:w="93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341"/>
        <w:gridCol w:w="1220"/>
        <w:gridCol w:w="1296"/>
        <w:gridCol w:w="1296"/>
        <w:gridCol w:w="1296"/>
        <w:gridCol w:w="1296"/>
        <w:gridCol w:w="1296"/>
        <w:gridCol w:w="13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blHeader/>
        </w:trPr>
        <w:tc>
          <w:tcPr>
            <w:tcW w:w="341" w:type="dxa"/>
            <w:vMerge w:val="restart"/>
            <w:vAlign w:val="center"/>
          </w:tcPr>
          <w:p>
            <w:pPr>
              <w:pStyle w:val="121"/>
              <w:jc w:val="center"/>
              <w:rPr>
                <w:rFonts w:ascii="宋体" w:hAnsi="宋体" w:eastAsia="宋体" w:cs="宋体"/>
                <w:sz w:val="21"/>
                <w:szCs w:val="21"/>
              </w:rPr>
            </w:pPr>
            <w:r>
              <w:rPr>
                <w:rFonts w:ascii="宋体" w:hAnsi="宋体" w:eastAsia="宋体" w:cs="宋体"/>
                <w:sz w:val="21"/>
                <w:szCs w:val="21"/>
              </w:rPr>
              <w:t>序号</w:t>
            </w:r>
          </w:p>
        </w:tc>
        <w:tc>
          <w:tcPr>
            <w:tcW w:w="1220" w:type="dxa"/>
            <w:vMerge w:val="restart"/>
            <w:vAlign w:val="center"/>
          </w:tcPr>
          <w:p>
            <w:pPr>
              <w:pStyle w:val="121"/>
              <w:jc w:val="center"/>
              <w:rPr>
                <w:rFonts w:ascii="宋体" w:hAnsi="宋体" w:eastAsia="宋体" w:cs="宋体"/>
                <w:sz w:val="21"/>
                <w:szCs w:val="21"/>
              </w:rPr>
            </w:pPr>
            <w:r>
              <w:rPr>
                <w:rFonts w:ascii="宋体" w:hAnsi="宋体" w:eastAsia="宋体" w:cs="宋体"/>
                <w:sz w:val="21"/>
                <w:szCs w:val="21"/>
              </w:rPr>
              <w:t>污染物项目</w:t>
            </w:r>
          </w:p>
        </w:tc>
        <w:tc>
          <w:tcPr>
            <w:tcW w:w="6480" w:type="dxa"/>
            <w:gridSpan w:val="5"/>
            <w:vAlign w:val="center"/>
          </w:tcPr>
          <w:p>
            <w:pPr>
              <w:pStyle w:val="121"/>
              <w:jc w:val="center"/>
              <w:rPr>
                <w:rFonts w:ascii="宋体" w:hAnsi="宋体" w:eastAsia="宋体" w:cs="宋体"/>
                <w:sz w:val="21"/>
                <w:szCs w:val="21"/>
                <w:lang w:eastAsia="zh-CN"/>
              </w:rPr>
            </w:pPr>
            <w:r>
              <w:rPr>
                <w:rFonts w:hint="eastAsia" w:ascii="宋体" w:hAnsi="宋体" w:eastAsia="宋体" w:cs="宋体"/>
                <w:sz w:val="21"/>
                <w:szCs w:val="21"/>
                <w:lang w:eastAsia="zh-CN"/>
              </w:rPr>
              <w:t>排放限值</w:t>
            </w:r>
          </w:p>
        </w:tc>
        <w:tc>
          <w:tcPr>
            <w:tcW w:w="1304" w:type="dxa"/>
            <w:vMerge w:val="restart"/>
            <w:vAlign w:val="center"/>
          </w:tcPr>
          <w:p>
            <w:pPr>
              <w:pStyle w:val="121"/>
              <w:jc w:val="center"/>
              <w:rPr>
                <w:rFonts w:ascii="宋体" w:hAnsi="宋体" w:eastAsia="宋体" w:cs="宋体"/>
                <w:sz w:val="21"/>
                <w:szCs w:val="21"/>
              </w:rPr>
            </w:pPr>
            <w:r>
              <w:rPr>
                <w:rFonts w:ascii="宋体" w:hAnsi="宋体" w:eastAsia="宋体" w:cs="宋体"/>
                <w:sz w:val="21"/>
                <w:szCs w:val="21"/>
              </w:rPr>
              <w:t>污染物排放监控位置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Header/>
        </w:trPr>
        <w:tc>
          <w:tcPr>
            <w:tcW w:w="341" w:type="dxa"/>
            <w:vMerge w:val="continue"/>
            <w:vAlign w:val="center"/>
          </w:tcPr>
          <w:p>
            <w:pPr>
              <w:pStyle w:val="121"/>
              <w:jc w:val="center"/>
              <w:rPr>
                <w:rFonts w:ascii="宋体" w:hAnsi="宋体" w:eastAsia="宋体" w:cs="宋体"/>
                <w:sz w:val="21"/>
                <w:szCs w:val="21"/>
              </w:rPr>
            </w:pPr>
          </w:p>
        </w:tc>
        <w:tc>
          <w:tcPr>
            <w:tcW w:w="1220" w:type="dxa"/>
            <w:vMerge w:val="continue"/>
            <w:vAlign w:val="center"/>
          </w:tcPr>
          <w:p>
            <w:pPr>
              <w:pStyle w:val="121"/>
              <w:jc w:val="center"/>
              <w:rPr>
                <w:rFonts w:ascii="宋体" w:hAnsi="宋体" w:eastAsia="宋体" w:cs="宋体"/>
                <w:sz w:val="21"/>
                <w:szCs w:val="21"/>
              </w:rPr>
            </w:pPr>
          </w:p>
        </w:tc>
        <w:tc>
          <w:tcPr>
            <w:tcW w:w="3888" w:type="dxa"/>
            <w:gridSpan w:val="3"/>
            <w:vAlign w:val="center"/>
          </w:tcPr>
          <w:p>
            <w:pPr>
              <w:pStyle w:val="121"/>
              <w:jc w:val="center"/>
              <w:rPr>
                <w:rFonts w:ascii="宋体" w:hAnsi="宋体" w:eastAsia="宋体" w:cs="宋体"/>
                <w:sz w:val="21"/>
                <w:szCs w:val="21"/>
                <w:lang w:eastAsia="zh-CN"/>
              </w:rPr>
            </w:pPr>
            <w:r>
              <w:rPr>
                <w:rFonts w:hint="eastAsia" w:ascii="宋体" w:hAnsi="宋体" w:eastAsia="宋体" w:cs="宋体"/>
                <w:sz w:val="21"/>
                <w:szCs w:val="21"/>
                <w:lang w:eastAsia="zh-CN"/>
              </w:rPr>
              <w:t>平板玻璃</w:t>
            </w:r>
          </w:p>
        </w:tc>
        <w:tc>
          <w:tcPr>
            <w:tcW w:w="2592" w:type="dxa"/>
            <w:gridSpan w:val="2"/>
            <w:vAlign w:val="center"/>
          </w:tcPr>
          <w:p>
            <w:pPr>
              <w:pStyle w:val="121"/>
              <w:jc w:val="center"/>
              <w:rPr>
                <w:rFonts w:ascii="宋体" w:hAnsi="宋体" w:eastAsia="宋体" w:cs="宋体"/>
                <w:sz w:val="21"/>
                <w:szCs w:val="21"/>
                <w:lang w:eastAsia="zh-CN"/>
              </w:rPr>
            </w:pPr>
            <w:r>
              <w:rPr>
                <w:rFonts w:hint="eastAsia" w:ascii="宋体" w:hAnsi="宋体" w:eastAsia="宋体" w:cs="宋体"/>
                <w:sz w:val="21"/>
                <w:szCs w:val="21"/>
                <w:lang w:eastAsia="zh-CN"/>
              </w:rPr>
              <w:t>电子玻璃</w:t>
            </w:r>
          </w:p>
        </w:tc>
        <w:tc>
          <w:tcPr>
            <w:tcW w:w="1304" w:type="dxa"/>
            <w:vMerge w:val="continue"/>
            <w:vAlign w:val="center"/>
          </w:tcPr>
          <w:p>
            <w:pPr>
              <w:pStyle w:val="121"/>
              <w:jc w:val="center"/>
              <w:rPr>
                <w:rFonts w:ascii="宋体" w:hAnsi="宋体" w:eastAsia="宋体" w:cs="宋体"/>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Header/>
        </w:trPr>
        <w:tc>
          <w:tcPr>
            <w:tcW w:w="341" w:type="dxa"/>
            <w:vMerge w:val="continue"/>
            <w:vAlign w:val="center"/>
          </w:tcPr>
          <w:p>
            <w:pPr>
              <w:jc w:val="center"/>
              <w:rPr>
                <w:rFonts w:ascii="宋体" w:hAnsi="宋体" w:eastAsia="宋体" w:cstheme="minorBidi"/>
                <w:szCs w:val="21"/>
                <w:lang w:eastAsia="en-US"/>
              </w:rPr>
            </w:pPr>
          </w:p>
        </w:tc>
        <w:tc>
          <w:tcPr>
            <w:tcW w:w="1220" w:type="dxa"/>
            <w:vMerge w:val="continue"/>
            <w:vAlign w:val="center"/>
          </w:tcPr>
          <w:p>
            <w:pPr>
              <w:jc w:val="center"/>
              <w:rPr>
                <w:rFonts w:ascii="宋体" w:hAnsi="宋体" w:eastAsia="宋体" w:cstheme="minorBidi"/>
                <w:szCs w:val="21"/>
                <w:lang w:eastAsia="en-US"/>
              </w:rPr>
            </w:pPr>
          </w:p>
        </w:tc>
        <w:tc>
          <w:tcPr>
            <w:tcW w:w="1296" w:type="dxa"/>
            <w:vAlign w:val="center"/>
          </w:tcPr>
          <w:p>
            <w:pPr>
              <w:pStyle w:val="121"/>
              <w:jc w:val="center"/>
              <w:rPr>
                <w:rFonts w:ascii="宋体" w:hAnsi="宋体" w:eastAsia="宋体" w:cs="宋体"/>
                <w:spacing w:val="-9"/>
                <w:sz w:val="21"/>
                <w:szCs w:val="21"/>
                <w:lang w:eastAsia="zh-CN"/>
              </w:rPr>
            </w:pPr>
            <w:r>
              <w:rPr>
                <w:rFonts w:ascii="宋体" w:hAnsi="宋体" w:eastAsia="宋体" w:cs="宋体"/>
                <w:sz w:val="21"/>
                <w:szCs w:val="21"/>
              </w:rPr>
              <w:t>玻璃熔窑</w:t>
            </w:r>
            <w:r>
              <w:rPr>
                <w:rFonts w:hint="eastAsia" w:ascii="宋体" w:hAnsi="宋体" w:eastAsia="宋体" w:cs="宋体"/>
                <w:sz w:val="21"/>
                <w:szCs w:val="21"/>
                <w:vertAlign w:val="superscript"/>
                <w:lang w:eastAsia="zh-CN"/>
              </w:rPr>
              <w:t>a</w:t>
            </w:r>
          </w:p>
        </w:tc>
        <w:tc>
          <w:tcPr>
            <w:tcW w:w="1296" w:type="dxa"/>
            <w:vAlign w:val="center"/>
          </w:tcPr>
          <w:p>
            <w:pPr>
              <w:pStyle w:val="121"/>
              <w:jc w:val="center"/>
              <w:rPr>
                <w:rFonts w:ascii="宋体" w:hAnsi="宋体" w:eastAsia="宋体" w:cs="宋体"/>
                <w:spacing w:val="-9"/>
                <w:sz w:val="21"/>
                <w:szCs w:val="21"/>
                <w:lang w:eastAsia="zh-CN"/>
              </w:rPr>
            </w:pPr>
            <w:r>
              <w:rPr>
                <w:rFonts w:hint="eastAsia" w:ascii="宋体" w:hAnsi="宋体" w:eastAsia="宋体" w:cs="宋体"/>
                <w:spacing w:val="-9"/>
                <w:sz w:val="21"/>
                <w:szCs w:val="21"/>
                <w:lang w:eastAsia="zh-CN"/>
              </w:rPr>
              <w:t>在线镀膜尾气处理系统</w:t>
            </w:r>
          </w:p>
        </w:tc>
        <w:tc>
          <w:tcPr>
            <w:tcW w:w="1296" w:type="dxa"/>
            <w:vAlign w:val="center"/>
          </w:tcPr>
          <w:p>
            <w:pPr>
              <w:pStyle w:val="121"/>
              <w:jc w:val="center"/>
              <w:rPr>
                <w:rFonts w:ascii="宋体" w:hAnsi="宋体" w:eastAsia="宋体" w:cs="宋体"/>
                <w:spacing w:val="-9"/>
                <w:sz w:val="21"/>
                <w:szCs w:val="21"/>
                <w:lang w:eastAsia="zh-CN"/>
              </w:rPr>
            </w:pPr>
            <w:r>
              <w:rPr>
                <w:rFonts w:hint="eastAsia" w:ascii="宋体" w:hAnsi="宋体" w:eastAsia="宋体" w:cs="宋体"/>
                <w:spacing w:val="-9"/>
                <w:sz w:val="21"/>
                <w:szCs w:val="21"/>
                <w:lang w:eastAsia="zh-CN"/>
              </w:rPr>
              <w:t>配料、碎玻璃等其他通风生产设备</w:t>
            </w:r>
          </w:p>
        </w:tc>
        <w:tc>
          <w:tcPr>
            <w:tcW w:w="1296" w:type="dxa"/>
            <w:vAlign w:val="center"/>
          </w:tcPr>
          <w:p>
            <w:pPr>
              <w:pStyle w:val="121"/>
              <w:jc w:val="center"/>
              <w:rPr>
                <w:rFonts w:ascii="宋体" w:hAnsi="宋体" w:eastAsia="宋体" w:cs="宋体"/>
                <w:spacing w:val="-9"/>
                <w:sz w:val="21"/>
                <w:szCs w:val="21"/>
                <w:lang w:eastAsia="zh-CN"/>
              </w:rPr>
            </w:pPr>
            <w:r>
              <w:rPr>
                <w:rFonts w:ascii="宋体" w:hAnsi="宋体" w:eastAsia="宋体" w:cs="宋体"/>
                <w:sz w:val="21"/>
                <w:szCs w:val="21"/>
              </w:rPr>
              <w:t>玻璃</w:t>
            </w:r>
            <w:r>
              <w:rPr>
                <w:rFonts w:hint="eastAsia" w:ascii="宋体" w:hAnsi="宋体" w:eastAsia="宋体" w:cs="宋体"/>
                <w:sz w:val="21"/>
                <w:szCs w:val="21"/>
                <w:lang w:eastAsia="zh-CN"/>
              </w:rPr>
              <w:t>熔炉</w:t>
            </w:r>
            <w:r>
              <w:rPr>
                <w:rFonts w:hint="eastAsia" w:ascii="宋体" w:hAnsi="宋体" w:eastAsia="宋体" w:cs="宋体"/>
                <w:sz w:val="21"/>
                <w:szCs w:val="21"/>
                <w:vertAlign w:val="superscript"/>
                <w:lang w:eastAsia="zh-CN"/>
              </w:rPr>
              <w:t>a</w:t>
            </w:r>
          </w:p>
        </w:tc>
        <w:tc>
          <w:tcPr>
            <w:tcW w:w="1296" w:type="dxa"/>
            <w:vAlign w:val="center"/>
          </w:tcPr>
          <w:p>
            <w:pPr>
              <w:pStyle w:val="121"/>
              <w:jc w:val="center"/>
              <w:rPr>
                <w:rFonts w:ascii="宋体" w:hAnsi="宋体" w:eastAsia="宋体" w:cs="宋体"/>
                <w:spacing w:val="-9"/>
                <w:sz w:val="21"/>
                <w:szCs w:val="21"/>
                <w:lang w:eastAsia="zh-CN"/>
              </w:rPr>
            </w:pPr>
            <w:r>
              <w:rPr>
                <w:rFonts w:hint="eastAsia" w:ascii="宋体" w:hAnsi="宋体" w:eastAsia="宋体" w:cs="宋体"/>
                <w:spacing w:val="-9"/>
                <w:sz w:val="21"/>
                <w:szCs w:val="21"/>
                <w:lang w:eastAsia="zh-CN"/>
              </w:rPr>
              <w:t>配料、碎玻璃等其他通风生产设备</w:t>
            </w:r>
          </w:p>
        </w:tc>
        <w:tc>
          <w:tcPr>
            <w:tcW w:w="1304" w:type="dxa"/>
            <w:vMerge w:val="restart"/>
            <w:vAlign w:val="center"/>
          </w:tcPr>
          <w:p>
            <w:pPr>
              <w:jc w:val="center"/>
              <w:rPr>
                <w:rFonts w:ascii="宋体" w:hAnsi="宋体" w:eastAsia="宋体" w:cstheme="minorBidi"/>
                <w:szCs w:val="21"/>
                <w:lang w:eastAsia="zh-CN"/>
              </w:rPr>
            </w:pPr>
            <w:r>
              <w:rPr>
                <w:rFonts w:ascii="宋体" w:hAnsi="宋体" w:eastAsia="宋体" w:cs="宋体"/>
                <w:szCs w:val="21"/>
                <w:lang w:eastAsia="zh-CN"/>
              </w:rPr>
              <w:t>车间或生产设施排气筒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blHeader/>
        </w:trPr>
        <w:tc>
          <w:tcPr>
            <w:tcW w:w="341" w:type="dxa"/>
            <w:vAlign w:val="center"/>
          </w:tcPr>
          <w:p>
            <w:pPr>
              <w:pStyle w:val="121"/>
              <w:jc w:val="center"/>
              <w:rPr>
                <w:rFonts w:ascii="宋体" w:hAnsi="宋体" w:eastAsia="宋体" w:cs="Times New Roman"/>
                <w:sz w:val="21"/>
                <w:szCs w:val="21"/>
              </w:rPr>
            </w:pPr>
            <w:r>
              <w:rPr>
                <w:rFonts w:ascii="宋体" w:hAnsi="宋体" w:eastAsia="宋体"/>
                <w:sz w:val="21"/>
                <w:szCs w:val="21"/>
              </w:rPr>
              <w:t>1</w:t>
            </w:r>
          </w:p>
        </w:tc>
        <w:tc>
          <w:tcPr>
            <w:tcW w:w="1220" w:type="dxa"/>
            <w:vAlign w:val="center"/>
          </w:tcPr>
          <w:p>
            <w:pPr>
              <w:pStyle w:val="121"/>
              <w:jc w:val="center"/>
              <w:rPr>
                <w:rFonts w:ascii="宋体" w:hAnsi="宋体" w:eastAsia="宋体" w:cs="宋体"/>
                <w:sz w:val="21"/>
                <w:szCs w:val="21"/>
              </w:rPr>
            </w:pPr>
            <w:r>
              <w:rPr>
                <w:rFonts w:ascii="宋体" w:hAnsi="宋体" w:eastAsia="宋体" w:cs="宋体"/>
                <w:sz w:val="21"/>
                <w:szCs w:val="21"/>
              </w:rPr>
              <w:t>颗粒物</w:t>
            </w:r>
          </w:p>
        </w:tc>
        <w:tc>
          <w:tcPr>
            <w:tcW w:w="1296" w:type="dxa"/>
            <w:vAlign w:val="center"/>
          </w:tcPr>
          <w:p>
            <w:pPr>
              <w:pStyle w:val="121"/>
              <w:jc w:val="center"/>
              <w:rPr>
                <w:rFonts w:ascii="宋体" w:hAnsi="宋体" w:eastAsia="宋体"/>
                <w:sz w:val="21"/>
                <w:szCs w:val="21"/>
              </w:rPr>
            </w:pPr>
            <w:r>
              <w:rPr>
                <w:rFonts w:ascii="宋体" w:hAnsi="宋体" w:eastAsia="宋体"/>
                <w:sz w:val="21"/>
                <w:szCs w:val="21"/>
                <w:lang w:eastAsia="zh-CN"/>
              </w:rPr>
              <w:t>3</w:t>
            </w:r>
            <w:r>
              <w:rPr>
                <w:rFonts w:hint="eastAsia" w:ascii="宋体" w:hAnsi="宋体" w:eastAsia="宋体"/>
                <w:sz w:val="21"/>
                <w:szCs w:val="21"/>
                <w:lang w:eastAsia="zh-CN"/>
              </w:rPr>
              <w:t>0</w:t>
            </w:r>
          </w:p>
        </w:tc>
        <w:tc>
          <w:tcPr>
            <w:tcW w:w="1296" w:type="dxa"/>
            <w:vAlign w:val="center"/>
          </w:tcPr>
          <w:p>
            <w:pPr>
              <w:pStyle w:val="121"/>
              <w:jc w:val="center"/>
              <w:rPr>
                <w:rFonts w:ascii="宋体" w:hAnsi="宋体" w:eastAsia="宋体"/>
                <w:sz w:val="21"/>
                <w:szCs w:val="21"/>
              </w:rPr>
            </w:pPr>
            <w:r>
              <w:rPr>
                <w:rFonts w:ascii="宋体" w:hAnsi="宋体" w:eastAsia="宋体"/>
                <w:sz w:val="21"/>
                <w:szCs w:val="21"/>
                <w:lang w:eastAsia="zh-CN"/>
              </w:rPr>
              <w:t>2</w:t>
            </w:r>
            <w:r>
              <w:rPr>
                <w:rFonts w:hint="eastAsia" w:ascii="宋体" w:hAnsi="宋体" w:eastAsia="宋体"/>
                <w:sz w:val="21"/>
                <w:szCs w:val="21"/>
                <w:lang w:eastAsia="zh-CN"/>
              </w:rPr>
              <w:t>0</w:t>
            </w:r>
          </w:p>
        </w:tc>
        <w:tc>
          <w:tcPr>
            <w:tcW w:w="1296" w:type="dxa"/>
            <w:vAlign w:val="center"/>
          </w:tcPr>
          <w:p>
            <w:pPr>
              <w:pStyle w:val="121"/>
              <w:jc w:val="center"/>
              <w:rPr>
                <w:rFonts w:ascii="宋体" w:hAnsi="宋体" w:eastAsia="宋体"/>
                <w:sz w:val="21"/>
                <w:szCs w:val="21"/>
              </w:rPr>
            </w:pPr>
            <w:r>
              <w:rPr>
                <w:rFonts w:ascii="宋体" w:hAnsi="宋体" w:eastAsia="宋体"/>
                <w:sz w:val="21"/>
                <w:szCs w:val="21"/>
                <w:lang w:eastAsia="zh-CN"/>
              </w:rPr>
              <w:t>2</w:t>
            </w:r>
            <w:r>
              <w:rPr>
                <w:rFonts w:hint="eastAsia" w:ascii="宋体" w:hAnsi="宋体" w:eastAsia="宋体"/>
                <w:sz w:val="21"/>
                <w:szCs w:val="21"/>
                <w:lang w:eastAsia="zh-CN"/>
              </w:rPr>
              <w:t>0</w:t>
            </w:r>
          </w:p>
        </w:tc>
        <w:tc>
          <w:tcPr>
            <w:tcW w:w="1296" w:type="dxa"/>
            <w:vAlign w:val="center"/>
          </w:tcPr>
          <w:p>
            <w:pPr>
              <w:pStyle w:val="121"/>
              <w:jc w:val="center"/>
              <w:rPr>
                <w:rFonts w:ascii="宋体" w:hAnsi="宋体" w:eastAsia="宋体"/>
                <w:sz w:val="21"/>
                <w:szCs w:val="21"/>
              </w:rPr>
            </w:pPr>
            <w:r>
              <w:rPr>
                <w:rFonts w:ascii="宋体" w:hAnsi="宋体" w:eastAsia="宋体"/>
                <w:sz w:val="21"/>
                <w:szCs w:val="21"/>
                <w:lang w:eastAsia="zh-CN"/>
              </w:rPr>
              <w:t>3</w:t>
            </w:r>
            <w:r>
              <w:rPr>
                <w:rFonts w:hint="eastAsia" w:ascii="宋体" w:hAnsi="宋体" w:eastAsia="宋体"/>
                <w:sz w:val="21"/>
                <w:szCs w:val="21"/>
                <w:lang w:eastAsia="zh-CN"/>
              </w:rPr>
              <w:t>0</w:t>
            </w:r>
          </w:p>
        </w:tc>
        <w:tc>
          <w:tcPr>
            <w:tcW w:w="1296" w:type="dxa"/>
            <w:vAlign w:val="center"/>
          </w:tcPr>
          <w:p>
            <w:pPr>
              <w:pStyle w:val="121"/>
              <w:jc w:val="center"/>
              <w:rPr>
                <w:rFonts w:ascii="宋体" w:hAnsi="宋体" w:eastAsia="宋体"/>
                <w:sz w:val="21"/>
                <w:szCs w:val="21"/>
              </w:rPr>
            </w:pPr>
            <w:r>
              <w:rPr>
                <w:rFonts w:ascii="宋体" w:hAnsi="宋体" w:eastAsia="宋体"/>
                <w:sz w:val="21"/>
                <w:szCs w:val="21"/>
                <w:lang w:eastAsia="zh-CN"/>
              </w:rPr>
              <w:t>2</w:t>
            </w:r>
            <w:r>
              <w:rPr>
                <w:rFonts w:hint="eastAsia" w:ascii="宋体" w:hAnsi="宋体" w:eastAsia="宋体"/>
                <w:sz w:val="21"/>
                <w:szCs w:val="21"/>
                <w:lang w:eastAsia="zh-CN"/>
              </w:rPr>
              <w:t>0</w:t>
            </w:r>
          </w:p>
        </w:tc>
        <w:tc>
          <w:tcPr>
            <w:tcW w:w="1304" w:type="dxa"/>
            <w:vMerge w:val="continue"/>
            <w:vAlign w:val="center"/>
          </w:tcPr>
          <w:p>
            <w:pPr>
              <w:pStyle w:val="121"/>
              <w:jc w:val="center"/>
              <w:rPr>
                <w:rFonts w:ascii="宋体" w:hAnsi="宋体" w:eastAsia="宋体" w:cs="宋体"/>
                <w:sz w:val="21"/>
                <w:szCs w:val="21"/>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blHeader/>
        </w:trPr>
        <w:tc>
          <w:tcPr>
            <w:tcW w:w="341" w:type="dxa"/>
            <w:vAlign w:val="center"/>
          </w:tcPr>
          <w:p>
            <w:pPr>
              <w:jc w:val="center"/>
              <w:rPr>
                <w:rFonts w:ascii="宋体" w:hAnsi="宋体" w:eastAsiaTheme="minorEastAsia" w:cstheme="minorBidi"/>
                <w:szCs w:val="21"/>
                <w:lang w:eastAsia="en-US"/>
              </w:rPr>
            </w:pPr>
            <w:r>
              <w:rPr>
                <w:rFonts w:hint="eastAsia" w:ascii="宋体" w:hAnsi="宋体" w:eastAsiaTheme="minorEastAsia" w:cstheme="minorBidi"/>
                <w:szCs w:val="21"/>
                <w:lang w:eastAsia="zh-CN"/>
              </w:rPr>
              <w:t>2</w:t>
            </w:r>
          </w:p>
        </w:tc>
        <w:tc>
          <w:tcPr>
            <w:tcW w:w="1220" w:type="dxa"/>
            <w:vAlign w:val="center"/>
          </w:tcPr>
          <w:p>
            <w:pPr>
              <w:jc w:val="center"/>
              <w:rPr>
                <w:rFonts w:ascii="宋体" w:hAnsi="宋体" w:eastAsiaTheme="minorEastAsia" w:cstheme="minorBidi"/>
                <w:szCs w:val="21"/>
                <w:lang w:eastAsia="en-US"/>
              </w:rPr>
            </w:pPr>
            <w:r>
              <w:rPr>
                <w:rFonts w:ascii="宋体" w:hAnsi="宋体" w:eastAsia="宋体" w:cs="宋体"/>
                <w:szCs w:val="21"/>
                <w:lang w:eastAsia="en-US"/>
              </w:rPr>
              <w:t>二氧化硫</w:t>
            </w:r>
          </w:p>
        </w:tc>
        <w:tc>
          <w:tcPr>
            <w:tcW w:w="1296" w:type="dxa"/>
            <w:vAlign w:val="center"/>
          </w:tcPr>
          <w:p>
            <w:pPr>
              <w:pStyle w:val="121"/>
              <w:jc w:val="center"/>
              <w:rPr>
                <w:rFonts w:ascii="宋体" w:hAnsi="宋体" w:eastAsia="宋体" w:cs="宋体"/>
                <w:sz w:val="21"/>
                <w:szCs w:val="21"/>
              </w:rPr>
            </w:pPr>
            <w:r>
              <w:rPr>
                <w:rFonts w:hint="eastAsia" w:ascii="宋体" w:hAnsi="宋体" w:eastAsia="宋体" w:cs="宋体"/>
                <w:sz w:val="21"/>
                <w:szCs w:val="21"/>
                <w:lang w:eastAsia="zh-CN"/>
              </w:rPr>
              <w:t>250</w:t>
            </w:r>
            <w:r>
              <w:rPr>
                <w:rFonts w:hint="eastAsia" w:ascii="宋体" w:hAnsi="宋体" w:eastAsia="宋体" w:cs="宋体"/>
                <w:sz w:val="21"/>
                <w:szCs w:val="21"/>
                <w:vertAlign w:val="superscript"/>
                <w:lang w:eastAsia="zh-CN"/>
              </w:rPr>
              <w:t>b</w:t>
            </w:r>
          </w:p>
        </w:tc>
        <w:tc>
          <w:tcPr>
            <w:tcW w:w="1296" w:type="dxa"/>
            <w:vAlign w:val="center"/>
          </w:tcPr>
          <w:p>
            <w:pPr>
              <w:pStyle w:val="121"/>
              <w:jc w:val="center"/>
              <w:rPr>
                <w:rFonts w:ascii="宋体" w:hAnsi="宋体" w:eastAsia="宋体" w:cs="宋体"/>
                <w:spacing w:val="-9"/>
                <w:sz w:val="21"/>
                <w:szCs w:val="21"/>
                <w:lang w:eastAsia="zh-CN"/>
              </w:rPr>
            </w:pPr>
            <w:r>
              <w:rPr>
                <w:rFonts w:ascii="宋体" w:hAnsi="宋体" w:eastAsia="宋体" w:cs="宋体"/>
                <w:szCs w:val="21"/>
              </w:rPr>
              <w:t>—</w:t>
            </w:r>
          </w:p>
        </w:tc>
        <w:tc>
          <w:tcPr>
            <w:tcW w:w="1296" w:type="dxa"/>
            <w:vAlign w:val="center"/>
          </w:tcPr>
          <w:p>
            <w:pPr>
              <w:pStyle w:val="121"/>
              <w:jc w:val="center"/>
              <w:rPr>
                <w:rFonts w:ascii="宋体" w:hAnsi="宋体" w:eastAsia="宋体" w:cs="宋体"/>
                <w:spacing w:val="-9"/>
                <w:sz w:val="21"/>
                <w:szCs w:val="21"/>
                <w:lang w:eastAsia="zh-CN"/>
              </w:rPr>
            </w:pPr>
            <w:r>
              <w:rPr>
                <w:rFonts w:ascii="宋体" w:hAnsi="宋体" w:eastAsia="宋体" w:cs="宋体"/>
                <w:szCs w:val="21"/>
              </w:rPr>
              <w:t>—</w:t>
            </w:r>
          </w:p>
        </w:tc>
        <w:tc>
          <w:tcPr>
            <w:tcW w:w="1296" w:type="dxa"/>
            <w:vAlign w:val="center"/>
          </w:tcPr>
          <w:p>
            <w:pPr>
              <w:pStyle w:val="121"/>
              <w:jc w:val="center"/>
              <w:rPr>
                <w:rFonts w:ascii="宋体" w:hAnsi="宋体" w:eastAsia="宋体" w:cs="宋体"/>
                <w:sz w:val="21"/>
                <w:szCs w:val="21"/>
              </w:rPr>
            </w:pPr>
            <w:r>
              <w:rPr>
                <w:rFonts w:hint="eastAsia" w:ascii="宋体" w:hAnsi="宋体" w:eastAsia="宋体" w:cs="宋体"/>
                <w:sz w:val="21"/>
                <w:szCs w:val="21"/>
                <w:lang w:eastAsia="zh-CN"/>
              </w:rPr>
              <w:t>250</w:t>
            </w:r>
            <w:r>
              <w:rPr>
                <w:rFonts w:hint="eastAsia" w:ascii="宋体" w:hAnsi="宋体" w:eastAsia="宋体" w:cs="宋体"/>
                <w:sz w:val="21"/>
                <w:szCs w:val="21"/>
                <w:vertAlign w:val="superscript"/>
                <w:lang w:eastAsia="zh-CN"/>
              </w:rPr>
              <w:t xml:space="preserve"> b</w:t>
            </w:r>
          </w:p>
        </w:tc>
        <w:tc>
          <w:tcPr>
            <w:tcW w:w="1296" w:type="dxa"/>
            <w:vAlign w:val="center"/>
          </w:tcPr>
          <w:p>
            <w:pPr>
              <w:pStyle w:val="121"/>
              <w:jc w:val="center"/>
              <w:rPr>
                <w:rFonts w:ascii="宋体" w:hAnsi="宋体" w:eastAsia="宋体" w:cs="宋体"/>
                <w:spacing w:val="-9"/>
                <w:sz w:val="21"/>
                <w:szCs w:val="21"/>
                <w:lang w:eastAsia="zh-CN"/>
              </w:rPr>
            </w:pPr>
            <w:r>
              <w:rPr>
                <w:rFonts w:ascii="宋体" w:hAnsi="宋体" w:eastAsia="宋体" w:cs="宋体"/>
                <w:sz w:val="21"/>
                <w:szCs w:val="21"/>
              </w:rPr>
              <w:t>—</w:t>
            </w:r>
          </w:p>
        </w:tc>
        <w:tc>
          <w:tcPr>
            <w:tcW w:w="1304" w:type="dxa"/>
            <w:vMerge w:val="continue"/>
            <w:vAlign w:val="center"/>
          </w:tcPr>
          <w:p>
            <w:pPr>
              <w:jc w:val="center"/>
              <w:rPr>
                <w:rFonts w:ascii="宋体" w:hAnsi="宋体" w:cs="宋体" w:eastAsiaTheme="minorEastAsia"/>
                <w:szCs w:val="21"/>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blHeader/>
        </w:trPr>
        <w:tc>
          <w:tcPr>
            <w:tcW w:w="341" w:type="dxa"/>
            <w:vAlign w:val="center"/>
          </w:tcPr>
          <w:p>
            <w:pPr>
              <w:pStyle w:val="121"/>
              <w:jc w:val="center"/>
              <w:rPr>
                <w:rFonts w:ascii="宋体" w:hAnsi="宋体" w:eastAsia="宋体"/>
                <w:sz w:val="21"/>
                <w:szCs w:val="21"/>
                <w:lang w:eastAsia="zh-CN"/>
              </w:rPr>
            </w:pPr>
            <w:r>
              <w:rPr>
                <w:rFonts w:hint="eastAsia" w:ascii="宋体" w:hAnsi="宋体" w:eastAsia="宋体"/>
                <w:sz w:val="21"/>
                <w:szCs w:val="21"/>
                <w:lang w:eastAsia="zh-CN"/>
              </w:rPr>
              <w:t>3</w:t>
            </w:r>
          </w:p>
        </w:tc>
        <w:tc>
          <w:tcPr>
            <w:tcW w:w="1220" w:type="dxa"/>
            <w:vAlign w:val="center"/>
          </w:tcPr>
          <w:p>
            <w:pPr>
              <w:pStyle w:val="121"/>
              <w:jc w:val="center"/>
              <w:rPr>
                <w:rFonts w:ascii="宋体" w:hAnsi="宋体" w:eastAsia="宋体" w:cs="宋体"/>
                <w:sz w:val="21"/>
                <w:szCs w:val="21"/>
                <w:lang w:eastAsia="zh-CN"/>
              </w:rPr>
            </w:pPr>
            <w:r>
              <w:rPr>
                <w:rFonts w:ascii="宋体" w:hAnsi="宋体" w:eastAsia="宋体" w:cs="宋体"/>
                <w:sz w:val="21"/>
                <w:szCs w:val="21"/>
              </w:rPr>
              <w:t>氮氧化物</w:t>
            </w:r>
            <w:r>
              <w:rPr>
                <w:rFonts w:hint="eastAsia" w:ascii="宋体" w:hAnsi="宋体" w:eastAsia="宋体" w:cs="宋体"/>
                <w:sz w:val="21"/>
                <w:szCs w:val="21"/>
                <w:lang w:eastAsia="zh-CN"/>
              </w:rPr>
              <w:t xml:space="preserve"> (</w:t>
            </w:r>
            <w:r>
              <w:rPr>
                <w:rFonts w:ascii="宋体" w:hAnsi="宋体" w:eastAsia="宋体" w:cs="宋体"/>
                <w:sz w:val="21"/>
                <w:szCs w:val="21"/>
              </w:rPr>
              <w:t>以</w:t>
            </w:r>
            <w:r>
              <w:rPr>
                <w:rFonts w:ascii="宋体" w:hAnsi="宋体" w:eastAsia="宋体" w:cs="宋体"/>
                <w:spacing w:val="-49"/>
                <w:sz w:val="21"/>
                <w:szCs w:val="21"/>
              </w:rPr>
              <w:t xml:space="preserve"> </w:t>
            </w:r>
            <w:r>
              <w:rPr>
                <w:rFonts w:ascii="宋体" w:hAnsi="宋体" w:eastAsia="宋体" w:cs="Times New Roman"/>
                <w:sz w:val="21"/>
                <w:szCs w:val="21"/>
              </w:rPr>
              <w:t>NO</w:t>
            </w:r>
            <w:r>
              <w:rPr>
                <w:rFonts w:ascii="宋体" w:hAnsi="宋体" w:eastAsia="宋体" w:cs="Times New Roman"/>
                <w:position w:val="-2"/>
                <w:sz w:val="21"/>
                <w:szCs w:val="21"/>
                <w:vertAlign w:val="subscript"/>
              </w:rPr>
              <w:t>2</w:t>
            </w:r>
            <w:r>
              <w:rPr>
                <w:rFonts w:ascii="宋体" w:hAnsi="宋体" w:eastAsia="宋体" w:cs="宋体"/>
                <w:sz w:val="21"/>
                <w:szCs w:val="21"/>
              </w:rPr>
              <w:t>计</w:t>
            </w:r>
            <w:r>
              <w:rPr>
                <w:rFonts w:hint="eastAsia" w:ascii="宋体" w:hAnsi="宋体" w:eastAsia="宋体" w:cs="宋体"/>
                <w:sz w:val="21"/>
                <w:szCs w:val="21"/>
                <w:lang w:eastAsia="zh-CN"/>
              </w:rPr>
              <w:t>)</w:t>
            </w:r>
          </w:p>
        </w:tc>
        <w:tc>
          <w:tcPr>
            <w:tcW w:w="1296" w:type="dxa"/>
            <w:vAlign w:val="center"/>
          </w:tcPr>
          <w:p>
            <w:pPr>
              <w:pStyle w:val="121"/>
              <w:jc w:val="center"/>
              <w:rPr>
                <w:rFonts w:ascii="宋体" w:hAnsi="宋体" w:eastAsia="宋体" w:cs="宋体"/>
                <w:sz w:val="21"/>
                <w:szCs w:val="21"/>
              </w:rPr>
            </w:pPr>
            <w:r>
              <w:rPr>
                <w:rFonts w:hint="eastAsia" w:ascii="宋体" w:hAnsi="宋体" w:eastAsia="宋体" w:cs="宋体"/>
                <w:sz w:val="21"/>
                <w:szCs w:val="21"/>
                <w:lang w:eastAsia="zh-CN"/>
              </w:rPr>
              <w:t>5</w:t>
            </w:r>
            <w:r>
              <w:rPr>
                <w:rFonts w:ascii="宋体" w:hAnsi="宋体" w:eastAsia="宋体" w:cs="宋体"/>
                <w:sz w:val="21"/>
                <w:szCs w:val="21"/>
                <w:lang w:eastAsia="zh-CN"/>
              </w:rPr>
              <w:t>00</w:t>
            </w:r>
            <w:r>
              <w:rPr>
                <w:rFonts w:hint="eastAsia" w:ascii="宋体" w:hAnsi="宋体" w:eastAsia="宋体" w:cs="宋体"/>
                <w:sz w:val="21"/>
                <w:szCs w:val="21"/>
                <w:lang w:eastAsia="zh-CN"/>
              </w:rPr>
              <w:t>（600）</w:t>
            </w:r>
            <w:r>
              <w:rPr>
                <w:rFonts w:hint="eastAsia" w:ascii="宋体" w:hAnsi="宋体" w:eastAsia="宋体" w:cs="宋体"/>
                <w:sz w:val="21"/>
                <w:szCs w:val="21"/>
                <w:vertAlign w:val="superscript"/>
                <w:lang w:eastAsia="zh-CN"/>
              </w:rPr>
              <w:t>*</w:t>
            </w:r>
          </w:p>
        </w:tc>
        <w:tc>
          <w:tcPr>
            <w:tcW w:w="1296" w:type="dxa"/>
            <w:vAlign w:val="center"/>
          </w:tcPr>
          <w:p>
            <w:pPr>
              <w:jc w:val="center"/>
              <w:rPr>
                <w:rFonts w:ascii="宋体" w:hAnsi="宋体" w:eastAsia="宋体" w:cstheme="minorBidi"/>
                <w:szCs w:val="21"/>
                <w:lang w:eastAsia="en-US"/>
              </w:rPr>
            </w:pPr>
            <w:r>
              <w:rPr>
                <w:rFonts w:ascii="宋体" w:hAnsi="宋体" w:eastAsia="宋体" w:cs="宋体"/>
                <w:szCs w:val="21"/>
                <w:lang w:eastAsia="en-US"/>
              </w:rPr>
              <w:t>—</w:t>
            </w:r>
          </w:p>
        </w:tc>
        <w:tc>
          <w:tcPr>
            <w:tcW w:w="1296" w:type="dxa"/>
            <w:vAlign w:val="center"/>
          </w:tcPr>
          <w:p>
            <w:pPr>
              <w:jc w:val="center"/>
              <w:rPr>
                <w:rFonts w:ascii="宋体" w:hAnsi="宋体" w:eastAsia="宋体" w:cstheme="minorBidi"/>
                <w:szCs w:val="21"/>
                <w:lang w:eastAsia="en-US"/>
              </w:rPr>
            </w:pPr>
            <w:r>
              <w:rPr>
                <w:rFonts w:ascii="宋体" w:hAnsi="宋体" w:eastAsia="宋体" w:cs="宋体"/>
                <w:szCs w:val="21"/>
                <w:lang w:eastAsia="en-US"/>
              </w:rPr>
              <w:t>—</w:t>
            </w:r>
          </w:p>
        </w:tc>
        <w:tc>
          <w:tcPr>
            <w:tcW w:w="1296" w:type="dxa"/>
            <w:vAlign w:val="center"/>
          </w:tcPr>
          <w:p>
            <w:pPr>
              <w:pStyle w:val="121"/>
              <w:jc w:val="center"/>
              <w:rPr>
                <w:rFonts w:ascii="宋体" w:hAnsi="宋体" w:eastAsia="宋体" w:cs="宋体"/>
                <w:sz w:val="21"/>
                <w:szCs w:val="21"/>
              </w:rPr>
            </w:pPr>
            <w:r>
              <w:rPr>
                <w:rFonts w:hint="eastAsia" w:ascii="宋体" w:hAnsi="宋体" w:eastAsia="宋体" w:cs="宋体"/>
                <w:sz w:val="21"/>
                <w:szCs w:val="21"/>
                <w:lang w:eastAsia="zh-CN"/>
              </w:rPr>
              <w:t>5</w:t>
            </w:r>
            <w:r>
              <w:rPr>
                <w:rFonts w:ascii="宋体" w:hAnsi="宋体" w:eastAsia="宋体" w:cs="宋体"/>
                <w:sz w:val="21"/>
                <w:szCs w:val="21"/>
                <w:lang w:eastAsia="zh-CN"/>
              </w:rPr>
              <w:t>00</w:t>
            </w:r>
            <w:r>
              <w:rPr>
                <w:rFonts w:ascii="宋体" w:hAnsi="宋体" w:eastAsia="宋体" w:cs="宋体"/>
                <w:sz w:val="21"/>
                <w:szCs w:val="21"/>
                <w:vertAlign w:val="superscript"/>
                <w:lang w:eastAsia="zh-CN"/>
              </w:rPr>
              <w:t xml:space="preserve"> </w:t>
            </w:r>
            <w:r>
              <w:rPr>
                <w:rFonts w:hint="eastAsia" w:ascii="宋体" w:hAnsi="宋体" w:eastAsia="宋体" w:cs="宋体"/>
                <w:sz w:val="21"/>
                <w:szCs w:val="21"/>
                <w:lang w:eastAsia="zh-CN"/>
              </w:rPr>
              <w:t>（600）</w:t>
            </w:r>
            <w:r>
              <w:rPr>
                <w:rFonts w:hint="eastAsia" w:ascii="宋体" w:hAnsi="宋体" w:eastAsia="宋体" w:cs="宋体"/>
                <w:sz w:val="21"/>
                <w:szCs w:val="21"/>
                <w:vertAlign w:val="superscript"/>
                <w:lang w:eastAsia="zh-CN"/>
              </w:rPr>
              <w:t>*</w:t>
            </w:r>
          </w:p>
        </w:tc>
        <w:tc>
          <w:tcPr>
            <w:tcW w:w="1296" w:type="dxa"/>
            <w:vAlign w:val="center"/>
          </w:tcPr>
          <w:p>
            <w:pPr>
              <w:jc w:val="center"/>
              <w:rPr>
                <w:rFonts w:ascii="宋体" w:hAnsi="宋体" w:eastAsia="宋体" w:cstheme="minorBidi"/>
                <w:szCs w:val="21"/>
                <w:lang w:eastAsia="en-US"/>
              </w:rPr>
            </w:pPr>
            <w:r>
              <w:rPr>
                <w:rFonts w:ascii="宋体" w:hAnsi="宋体" w:eastAsia="宋体" w:cs="宋体"/>
                <w:szCs w:val="21"/>
                <w:lang w:eastAsia="en-US"/>
              </w:rPr>
              <w:t>—</w:t>
            </w:r>
          </w:p>
        </w:tc>
        <w:tc>
          <w:tcPr>
            <w:tcW w:w="1304" w:type="dxa"/>
            <w:vMerge w:val="continue"/>
            <w:vAlign w:val="center"/>
          </w:tcPr>
          <w:p>
            <w:pPr>
              <w:jc w:val="center"/>
              <w:rPr>
                <w:rFonts w:ascii="宋体" w:hAnsi="宋体" w:eastAsia="宋体" w:cstheme="minorBidi"/>
                <w:szCs w:val="21"/>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blHeader/>
        </w:trPr>
        <w:tc>
          <w:tcPr>
            <w:tcW w:w="9345" w:type="dxa"/>
            <w:gridSpan w:val="8"/>
            <w:vAlign w:val="center"/>
          </w:tcPr>
          <w:p>
            <w:pPr>
              <w:ind w:firstLine="420" w:firstLineChars="200"/>
              <w:rPr>
                <w:rFonts w:ascii="宋体" w:hAnsi="宋体" w:eastAsia="宋体" w:cstheme="minorBidi"/>
                <w:szCs w:val="21"/>
                <w:lang w:eastAsia="zh-CN"/>
              </w:rPr>
            </w:pPr>
            <w:r>
              <w:rPr>
                <w:rFonts w:hint="eastAsia" w:ascii="宋体" w:hAnsi="宋体" w:eastAsia="宋体" w:cstheme="minorBidi"/>
                <w:szCs w:val="21"/>
                <w:lang w:eastAsia="zh-CN"/>
              </w:rPr>
              <w:t>a</w:t>
            </w:r>
            <w:r>
              <w:rPr>
                <w:rFonts w:ascii="宋体" w:hAnsi="宋体" w:eastAsia="宋体" w:cstheme="minorBidi"/>
                <w:szCs w:val="21"/>
                <w:lang w:eastAsia="zh-CN"/>
              </w:rPr>
              <w:t xml:space="preserve">  </w:t>
            </w:r>
            <w:r>
              <w:rPr>
                <w:rFonts w:hint="eastAsia" w:ascii="宋体" w:hAnsi="宋体" w:eastAsia="宋体" w:cstheme="minorBidi"/>
                <w:szCs w:val="21"/>
                <w:lang w:eastAsia="zh-CN"/>
              </w:rPr>
              <w:t>指干烟气中O</w:t>
            </w:r>
            <w:r>
              <w:rPr>
                <w:rFonts w:hint="eastAsia" w:ascii="宋体" w:hAnsi="宋体" w:eastAsia="宋体" w:cstheme="minorBidi"/>
                <w:szCs w:val="21"/>
                <w:vertAlign w:val="subscript"/>
                <w:lang w:eastAsia="zh-CN"/>
              </w:rPr>
              <w:t>2</w:t>
            </w:r>
            <w:r>
              <w:rPr>
                <w:rFonts w:hint="eastAsia" w:ascii="宋体" w:hAnsi="宋体" w:eastAsia="宋体" w:cstheme="minorBidi"/>
                <w:szCs w:val="21"/>
                <w:lang w:eastAsia="zh-CN"/>
              </w:rPr>
              <w:t>含量8%状态下（纯氧燃烧为基准排气量条件下）的排放限值。</w:t>
            </w:r>
          </w:p>
          <w:p>
            <w:pPr>
              <w:ind w:firstLine="420" w:firstLineChars="200"/>
              <w:rPr>
                <w:rFonts w:ascii="宋体" w:hAnsi="宋体" w:eastAsia="宋体" w:cstheme="minorBidi"/>
                <w:szCs w:val="21"/>
                <w:lang w:eastAsia="zh-CN"/>
              </w:rPr>
            </w:pPr>
            <w:r>
              <w:rPr>
                <w:rFonts w:hint="eastAsia" w:ascii="宋体" w:hAnsi="宋体" w:eastAsia="宋体" w:cstheme="minorBidi"/>
                <w:szCs w:val="21"/>
                <w:lang w:eastAsia="zh-CN"/>
              </w:rPr>
              <w:t>b</w:t>
            </w:r>
            <w:r>
              <w:rPr>
                <w:rFonts w:ascii="宋体" w:hAnsi="宋体" w:eastAsia="宋体" w:cstheme="minorBidi"/>
                <w:szCs w:val="21"/>
                <w:lang w:eastAsia="zh-CN"/>
              </w:rPr>
              <w:t xml:space="preserve">  </w:t>
            </w:r>
            <w:r>
              <w:rPr>
                <w:rFonts w:hint="eastAsia" w:ascii="宋体" w:hAnsi="宋体" w:eastAsia="宋体" w:cstheme="minorBidi"/>
                <w:szCs w:val="21"/>
                <w:lang w:eastAsia="zh-CN"/>
              </w:rPr>
              <w:t>以天然气为燃料的玻璃</w:t>
            </w:r>
            <w:r>
              <w:rPr>
                <w:rFonts w:ascii="宋体" w:hAnsi="宋体" w:eastAsia="宋体" w:cstheme="minorBidi"/>
                <w:szCs w:val="21"/>
                <w:lang w:eastAsia="zh-CN"/>
              </w:rPr>
              <w:t>熔窑</w:t>
            </w:r>
            <w:r>
              <w:rPr>
                <w:rFonts w:hint="eastAsia" w:ascii="宋体" w:hAnsi="宋体" w:eastAsia="宋体" w:cstheme="minorBidi"/>
                <w:szCs w:val="21"/>
                <w:lang w:eastAsia="zh-CN"/>
              </w:rPr>
              <w:t>、熔炉按现行</w:t>
            </w:r>
            <w:r>
              <w:rPr>
                <w:rFonts w:ascii="宋体" w:hAnsi="宋体" w:eastAsia="宋体" w:cstheme="minorBidi"/>
                <w:szCs w:val="21"/>
                <w:lang w:eastAsia="zh-CN"/>
              </w:rPr>
              <w:t>GB 26453</w:t>
            </w:r>
            <w:r>
              <w:rPr>
                <w:rFonts w:hint="eastAsia" w:ascii="宋体" w:hAnsi="宋体" w:eastAsia="宋体" w:cstheme="minorBidi"/>
                <w:szCs w:val="21"/>
                <w:lang w:eastAsia="zh-CN"/>
              </w:rPr>
              <w:t>、G</w:t>
            </w:r>
            <w:r>
              <w:rPr>
                <w:rFonts w:ascii="宋体" w:hAnsi="宋体" w:eastAsia="宋体" w:cstheme="minorBidi"/>
                <w:szCs w:val="21"/>
                <w:lang w:eastAsia="zh-CN"/>
              </w:rPr>
              <w:t>B 29495</w:t>
            </w:r>
            <w:r>
              <w:rPr>
                <w:rFonts w:hint="eastAsia" w:ascii="宋体" w:hAnsi="宋体" w:eastAsia="宋体" w:cstheme="minorBidi"/>
                <w:szCs w:val="21"/>
                <w:lang w:eastAsia="zh-CN"/>
              </w:rPr>
              <w:t>执行。</w:t>
            </w:r>
          </w:p>
          <w:p>
            <w:pPr>
              <w:ind w:firstLine="420" w:firstLineChars="200"/>
              <w:rPr>
                <w:rFonts w:ascii="宋体" w:hAnsi="宋体" w:eastAsiaTheme="minorEastAsia" w:cstheme="minorBidi"/>
                <w:szCs w:val="21"/>
                <w:lang w:eastAsia="zh-CN"/>
              </w:rPr>
            </w:pPr>
            <w:r>
              <w:rPr>
                <w:rFonts w:hint="eastAsia" w:ascii="宋体" w:hAnsi="宋体" w:eastAsia="宋体" w:cstheme="minorBidi"/>
                <w:szCs w:val="21"/>
                <w:lang w:eastAsia="zh-CN"/>
              </w:rPr>
              <w:t>*</w:t>
            </w:r>
            <w:r>
              <w:rPr>
                <w:rFonts w:ascii="宋体" w:hAnsi="宋体" w:eastAsia="宋体" w:cstheme="minorBidi"/>
                <w:szCs w:val="21"/>
                <w:lang w:eastAsia="zh-CN"/>
              </w:rPr>
              <w:t xml:space="preserve">  </w:t>
            </w:r>
            <w:r>
              <w:rPr>
                <w:rFonts w:hint="eastAsia" w:ascii="宋体" w:hAnsi="宋体" w:eastAsia="宋体" w:cstheme="minorBidi"/>
                <w:szCs w:val="21"/>
                <w:lang w:eastAsia="zh-CN"/>
              </w:rPr>
              <w:t>括号内指以天然气为燃料的玻璃熔窑、熔炉氮氧化物的排放限值。</w:t>
            </w:r>
          </w:p>
        </w:tc>
      </w:tr>
    </w:tbl>
    <w:p>
      <w:pPr>
        <w:pStyle w:val="54"/>
        <w:spacing w:before="156" w:beforeLines="50" w:after="156" w:afterLines="50"/>
        <w:jc w:val="left"/>
        <w:rPr>
          <w:rFonts w:ascii="宋体" w:hAnsi="宋体"/>
        </w:rPr>
      </w:pPr>
      <w:r>
        <w:rPr>
          <w:szCs w:val="21"/>
        </w:rPr>
        <w:t>4.1.3</w:t>
      </w:r>
      <w:r>
        <w:rPr>
          <w:rFonts w:hAnsi="黑体" w:cs="黑体"/>
          <w:szCs w:val="21"/>
        </w:rPr>
        <w:t xml:space="preserve"> </w:t>
      </w:r>
      <w:r>
        <w:rPr>
          <w:rFonts w:ascii="宋体" w:hAnsi="宋体" w:eastAsia="宋体" w:cs="宋体"/>
          <w:szCs w:val="21"/>
        </w:rPr>
        <w:t>对于玻璃熔窑</w:t>
      </w:r>
      <w:r>
        <w:rPr>
          <w:rFonts w:hint="eastAsia" w:ascii="宋体" w:hAnsi="宋体" w:eastAsia="宋体" w:cs="宋体"/>
          <w:szCs w:val="21"/>
        </w:rPr>
        <w:t>、熔炉排</w:t>
      </w:r>
      <w:r>
        <w:rPr>
          <w:rFonts w:ascii="宋体" w:hAnsi="宋体" w:eastAsia="宋体" w:cs="宋体"/>
          <w:szCs w:val="21"/>
        </w:rPr>
        <w:t>气</w:t>
      </w:r>
      <w:r>
        <w:rPr>
          <w:rFonts w:hint="eastAsia" w:ascii="宋体" w:hAnsi="宋体" w:eastAsia="宋体" w:cs="宋体"/>
          <w:szCs w:val="21"/>
        </w:rPr>
        <w:t>（纯氧燃烧除外），</w:t>
      </w:r>
      <w:r>
        <w:rPr>
          <w:rFonts w:ascii="宋体" w:hAnsi="宋体" w:eastAsia="宋体" w:cs="宋体"/>
          <w:szCs w:val="21"/>
        </w:rPr>
        <w:t>应同时对排气中氧含量进行监测，</w:t>
      </w:r>
      <w:r>
        <w:rPr>
          <w:rFonts w:hint="eastAsia" w:ascii="宋体" w:hAnsi="宋体" w:eastAsia="宋体" w:cs="宋体"/>
          <w:szCs w:val="21"/>
        </w:rPr>
        <w:t>实测排气筒中大气污染物排放浓度应按</w:t>
      </w:r>
      <w:r>
        <w:rPr>
          <w:rFonts w:ascii="宋体" w:hAnsi="宋体" w:eastAsia="宋体" w:cs="宋体"/>
          <w:szCs w:val="21"/>
        </w:rPr>
        <w:t>GB 26453</w:t>
      </w:r>
      <w:r>
        <w:rPr>
          <w:rFonts w:hint="eastAsia" w:ascii="宋体" w:hAnsi="宋体" w:eastAsia="宋体" w:cs="宋体"/>
          <w:szCs w:val="21"/>
        </w:rPr>
        <w:t>、G</w:t>
      </w:r>
      <w:r>
        <w:rPr>
          <w:rFonts w:ascii="宋体" w:hAnsi="宋体" w:eastAsia="宋体" w:cs="宋体"/>
          <w:szCs w:val="21"/>
        </w:rPr>
        <w:t>B 29495</w:t>
      </w:r>
      <w:r>
        <w:rPr>
          <w:rFonts w:hint="eastAsia" w:ascii="宋体" w:hAnsi="宋体" w:eastAsia="宋体" w:cs="宋体"/>
          <w:szCs w:val="21"/>
        </w:rPr>
        <w:t>规定的公式换算为含氧量8%状态下的基准排放浓度，并以此作为排放是否达标的依据。其他车间或生产设施排气按实测浓度计算，但不得人为稀释排放。</w:t>
      </w:r>
    </w:p>
    <w:p>
      <w:pPr>
        <w:autoSpaceDE w:val="0"/>
        <w:autoSpaceDN w:val="0"/>
        <w:adjustRightInd w:val="0"/>
        <w:spacing w:before="50" w:after="50"/>
        <w:jc w:val="left"/>
        <w:rPr>
          <w:rFonts w:ascii="宋体" w:hAnsi="宋体" w:cs="宋体"/>
          <w:kern w:val="0"/>
          <w:szCs w:val="21"/>
        </w:rPr>
      </w:pPr>
      <w:r>
        <w:rPr>
          <w:rFonts w:ascii="黑体" w:hAnsi="黑体" w:eastAsia="黑体" w:cs="黑体"/>
          <w:kern w:val="0"/>
          <w:szCs w:val="21"/>
        </w:rPr>
        <w:t xml:space="preserve">4.1.4 </w:t>
      </w:r>
      <w:r>
        <w:rPr>
          <w:rFonts w:hint="eastAsia" w:ascii="宋体" w:hAnsi="宋体" w:cs="宋体"/>
          <w:kern w:val="0"/>
          <w:szCs w:val="21"/>
        </w:rPr>
        <w:t>纯氧燃烧玻璃熔窑、熔炉应监测排气筒中大气污染物排气浓度、排气量及相应时间内的玻璃出料量，</w:t>
      </w:r>
      <w:r>
        <w:rPr>
          <w:rFonts w:hint="eastAsia"/>
        </w:rPr>
        <w:t>应按</w:t>
      </w:r>
      <w:r>
        <w:t>GB 26453</w:t>
      </w:r>
      <w:r>
        <w:rPr>
          <w:rFonts w:hint="eastAsia"/>
        </w:rPr>
        <w:t>、G</w:t>
      </w:r>
      <w:r>
        <w:t>B 29495</w:t>
      </w:r>
      <w:r>
        <w:rPr>
          <w:rFonts w:hint="eastAsia"/>
        </w:rPr>
        <w:t>规定的公式</w:t>
      </w:r>
      <w:r>
        <w:rPr>
          <w:rFonts w:hint="eastAsia" w:ascii="宋体" w:hAnsi="宋体" w:cs="宋体"/>
          <w:kern w:val="0"/>
          <w:szCs w:val="21"/>
        </w:rPr>
        <w:t>计算基准排放量[</w:t>
      </w:r>
      <w:r>
        <w:rPr>
          <w:rFonts w:ascii="宋体" w:hAnsi="宋体" w:cs="宋体"/>
          <w:kern w:val="0"/>
          <w:szCs w:val="21"/>
        </w:rPr>
        <w:t>3000 m</w:t>
      </w:r>
      <w:r>
        <w:rPr>
          <w:rFonts w:ascii="宋体" w:hAnsi="宋体" w:cs="宋体"/>
          <w:kern w:val="0"/>
          <w:szCs w:val="21"/>
          <w:vertAlign w:val="superscript"/>
        </w:rPr>
        <w:t>3</w:t>
      </w:r>
      <w:r>
        <w:rPr>
          <w:rFonts w:ascii="宋体" w:hAnsi="宋体" w:cs="宋体"/>
          <w:kern w:val="0"/>
          <w:szCs w:val="21"/>
        </w:rPr>
        <w:t>/t</w:t>
      </w:r>
      <w:r>
        <w:rPr>
          <w:rFonts w:hint="eastAsia" w:ascii="宋体" w:hAnsi="宋体" w:cs="宋体"/>
          <w:kern w:val="0"/>
          <w:szCs w:val="21"/>
        </w:rPr>
        <w:t>（玻璃液）</w:t>
      </w:r>
      <w:r>
        <w:rPr>
          <w:rFonts w:ascii="宋体" w:hAnsi="宋体" w:cs="宋体"/>
          <w:kern w:val="0"/>
          <w:szCs w:val="21"/>
        </w:rPr>
        <w:t>]</w:t>
      </w:r>
      <w:r>
        <w:rPr>
          <w:rFonts w:hint="eastAsia" w:ascii="宋体" w:hAnsi="宋体" w:cs="宋体"/>
          <w:kern w:val="0"/>
          <w:szCs w:val="21"/>
        </w:rPr>
        <w:t>条件下的基准排放浓度，并以此作为判定排放是否达标的依据。大气污染物排放浓度、排气量、产品产量的监测、统计周期为1</w:t>
      </w:r>
      <w:r>
        <w:rPr>
          <w:rFonts w:ascii="宋体" w:hAnsi="宋体" w:cs="宋体"/>
          <w:kern w:val="0"/>
          <w:szCs w:val="21"/>
        </w:rPr>
        <w:t>h</w:t>
      </w:r>
      <w:r>
        <w:rPr>
          <w:rFonts w:hint="eastAsia" w:ascii="宋体" w:hAnsi="宋体" w:cs="宋体"/>
          <w:kern w:val="0"/>
          <w:szCs w:val="21"/>
        </w:rPr>
        <w:t>，可连续采样或等时间间隔采样获得大气污染物排放浓度和排气量数据，玻璃出料量数据以企业统计报表为依据。</w:t>
      </w:r>
    </w:p>
    <w:p>
      <w:pPr>
        <w:tabs>
          <w:tab w:val="left" w:pos="644"/>
          <w:tab w:val="left" w:pos="2113"/>
        </w:tabs>
        <w:spacing w:before="156" w:beforeLines="50" w:after="156" w:afterLines="50"/>
        <w:rPr>
          <w:rFonts w:ascii="黑体" w:hAnsi="黑体" w:eastAsia="黑体" w:cs="黑体"/>
          <w:szCs w:val="21"/>
        </w:rPr>
      </w:pPr>
      <w:r>
        <w:rPr>
          <w:rFonts w:hint="eastAsia" w:ascii="黑体" w:hAnsi="黑体" w:eastAsia="黑体" w:cs="黑体"/>
          <w:szCs w:val="21"/>
        </w:rPr>
        <w:t>4.2</w:t>
      </w:r>
      <w:r>
        <w:rPr>
          <w:rFonts w:hint="eastAsia" w:ascii="黑体" w:hAnsi="黑体" w:eastAsia="黑体" w:cs="黑体"/>
          <w:szCs w:val="21"/>
        </w:rPr>
        <w:tab/>
      </w:r>
      <w:r>
        <w:rPr>
          <w:rFonts w:hint="eastAsia" w:ascii="黑体" w:hAnsi="黑体" w:eastAsia="黑体" w:cs="黑体"/>
          <w:szCs w:val="21"/>
        </w:rPr>
        <w:t>无组织排放控制要求</w:t>
      </w:r>
    </w:p>
    <w:p>
      <w:pPr>
        <w:spacing w:before="50" w:after="50"/>
      </w:pPr>
      <w:r>
        <w:rPr>
          <w:rFonts w:hint="eastAsia" w:ascii="黑体" w:eastAsia="黑体"/>
          <w:kern w:val="0"/>
          <w:szCs w:val="21"/>
        </w:rPr>
        <w:t>4.</w:t>
      </w:r>
      <w:r>
        <w:rPr>
          <w:rFonts w:ascii="黑体" w:eastAsia="黑体"/>
          <w:kern w:val="0"/>
          <w:szCs w:val="21"/>
        </w:rPr>
        <w:t>2</w:t>
      </w:r>
      <w:r>
        <w:rPr>
          <w:rFonts w:hint="eastAsia" w:ascii="黑体" w:eastAsia="黑体"/>
          <w:kern w:val="0"/>
          <w:szCs w:val="21"/>
        </w:rPr>
        <w:t>.1</w:t>
      </w:r>
      <w:r>
        <w:rPr>
          <w:rFonts w:ascii="黑体" w:hAnsi="黑体" w:eastAsia="黑体" w:cs="黑体"/>
          <w:kern w:val="0"/>
          <w:szCs w:val="21"/>
        </w:rPr>
        <w:t xml:space="preserve">  </w:t>
      </w:r>
      <w:r>
        <w:rPr>
          <w:rFonts w:hint="eastAsia" w:ascii="宋体"/>
          <w:color w:val="000000" w:themeColor="text1"/>
          <w:kern w:val="0"/>
          <w:szCs w:val="20"/>
          <w14:textFill>
            <w14:solidFill>
              <w14:schemeClr w14:val="tx1"/>
            </w14:solidFill>
          </w14:textFill>
        </w:rPr>
        <w:t>玻璃制造</w:t>
      </w:r>
      <w:r>
        <w:rPr>
          <w:rFonts w:hint="eastAsia"/>
        </w:rPr>
        <w:t>企业在原料破碎、筛分、储存、称量、混合、输送、投料等阶段应封闭操作，防止无组织排放。</w:t>
      </w:r>
    </w:p>
    <w:p>
      <w:pPr>
        <w:spacing w:before="50" w:after="50"/>
        <w:rPr>
          <w:rFonts w:ascii="宋体" w:hAnsi="宋体" w:cs="宋体"/>
          <w:szCs w:val="21"/>
        </w:rPr>
      </w:pPr>
      <w:r>
        <w:rPr>
          <w:rFonts w:hint="eastAsia" w:ascii="黑体" w:eastAsia="黑体"/>
          <w:kern w:val="0"/>
          <w:szCs w:val="21"/>
        </w:rPr>
        <w:t>4.2.</w:t>
      </w:r>
      <w:r>
        <w:rPr>
          <w:rFonts w:ascii="黑体" w:eastAsia="黑体"/>
          <w:kern w:val="0"/>
          <w:szCs w:val="21"/>
        </w:rPr>
        <w:t xml:space="preserve">2 </w:t>
      </w:r>
      <w:r>
        <w:rPr>
          <w:rFonts w:ascii="宋体" w:hAnsi="宋体" w:cs="宋体"/>
          <w:szCs w:val="21"/>
        </w:rPr>
        <w:t xml:space="preserve"> </w:t>
      </w:r>
      <w:r>
        <w:rPr>
          <w:rFonts w:hint="eastAsia" w:ascii="宋体" w:hAnsi="宋体" w:cs="宋体"/>
          <w:szCs w:val="21"/>
        </w:rPr>
        <w:t>自本标准实施之日起，</w:t>
      </w:r>
      <w:r>
        <w:rPr>
          <w:rFonts w:hint="eastAsia" w:ascii="宋体"/>
          <w:color w:val="000000" w:themeColor="text1"/>
          <w:kern w:val="0"/>
          <w:szCs w:val="20"/>
          <w14:textFill>
            <w14:solidFill>
              <w14:schemeClr w14:val="tx1"/>
            </w14:solidFill>
          </w14:textFill>
        </w:rPr>
        <w:t>玻璃制造</w:t>
      </w:r>
      <w:r>
        <w:rPr>
          <w:rFonts w:hint="eastAsia" w:ascii="宋体" w:hAnsi="宋体" w:cs="宋体"/>
          <w:szCs w:val="21"/>
        </w:rPr>
        <w:t>企业大气污染物无组织排放监测点浓度限值应符合表2规定。</w:t>
      </w:r>
    </w:p>
    <w:p>
      <w:pPr>
        <w:jc w:val="center"/>
        <w:rPr>
          <w:rFonts w:ascii="黑体" w:hAnsi="黑体" w:eastAsia="黑体" w:cs="黑体"/>
        </w:rPr>
      </w:pPr>
      <w:r>
        <w:rPr>
          <w:rFonts w:hint="eastAsia" w:ascii="黑体" w:hAnsi="黑体" w:eastAsia="黑体" w:cs="黑体"/>
        </w:rPr>
        <w:t>表2</w:t>
      </w:r>
      <w:r>
        <w:rPr>
          <w:rFonts w:hint="eastAsia" w:ascii="黑体" w:hAnsi="黑体" w:eastAsia="黑体" w:cs="黑体"/>
        </w:rPr>
        <w:tab/>
      </w:r>
      <w:r>
        <w:rPr>
          <w:rFonts w:ascii="黑体" w:hAnsi="黑体" w:eastAsia="黑体" w:cs="黑体"/>
        </w:rPr>
        <w:t xml:space="preserve">  </w:t>
      </w:r>
      <w:r>
        <w:rPr>
          <w:rFonts w:hint="eastAsia" w:ascii="黑体" w:hAnsi="黑体" w:eastAsia="黑体" w:cs="黑体"/>
        </w:rPr>
        <w:t>大气污染物无组织排放限值</w:t>
      </w:r>
    </w:p>
    <w:p>
      <w:pPr>
        <w:ind w:left="218"/>
        <w:jc w:val="right"/>
        <w:rPr>
          <w:rFonts w:ascii="宋体" w:hAnsi="宋体" w:cs="宋体"/>
          <w:spacing w:val="-1"/>
          <w:sz w:val="18"/>
          <w:szCs w:val="18"/>
        </w:rPr>
      </w:pPr>
      <w:r>
        <w:rPr>
          <w:rFonts w:ascii="宋体" w:hAnsi="宋体" w:cs="宋体"/>
          <w:spacing w:val="-1"/>
          <w:sz w:val="18"/>
          <w:szCs w:val="18"/>
        </w:rPr>
        <w:t>单位：mg/m</w:t>
      </w:r>
      <w:r>
        <w:rPr>
          <w:rFonts w:ascii="宋体" w:hAnsi="宋体" w:cs="宋体"/>
          <w:spacing w:val="-1"/>
          <w:sz w:val="18"/>
          <w:szCs w:val="18"/>
          <w:vertAlign w:val="superscript"/>
        </w:rPr>
        <w:t>3</w:t>
      </w:r>
    </w:p>
    <w:tbl>
      <w:tblPr>
        <w:tblStyle w:val="120"/>
        <w:tblW w:w="9345" w:type="dxa"/>
        <w:tblInd w:w="0" w:type="dxa"/>
        <w:tblLayout w:type="fixed"/>
        <w:tblCellMar>
          <w:top w:w="0" w:type="dxa"/>
          <w:left w:w="0" w:type="dxa"/>
          <w:bottom w:w="0" w:type="dxa"/>
          <w:right w:w="0" w:type="dxa"/>
        </w:tblCellMar>
      </w:tblPr>
      <w:tblGrid>
        <w:gridCol w:w="617"/>
        <w:gridCol w:w="1108"/>
        <w:gridCol w:w="985"/>
        <w:gridCol w:w="3310"/>
        <w:gridCol w:w="3325"/>
      </w:tblGrid>
      <w:tr>
        <w:tblPrEx>
          <w:tblLayout w:type="fixed"/>
          <w:tblCellMar>
            <w:top w:w="0" w:type="dxa"/>
            <w:left w:w="0" w:type="dxa"/>
            <w:bottom w:w="0" w:type="dxa"/>
            <w:right w:w="0" w:type="dxa"/>
          </w:tblCellMar>
        </w:tblPrEx>
        <w:tc>
          <w:tcPr>
            <w:tcW w:w="617" w:type="dxa"/>
            <w:tcBorders>
              <w:top w:val="single" w:color="000000" w:sz="4" w:space="0"/>
              <w:left w:val="single" w:color="000000" w:sz="4" w:space="0"/>
              <w:bottom w:val="single" w:color="000000" w:sz="4" w:space="0"/>
              <w:right w:val="single" w:color="000000" w:sz="4" w:space="0"/>
            </w:tcBorders>
            <w:vAlign w:val="center"/>
          </w:tcPr>
          <w:p>
            <w:pPr>
              <w:pStyle w:val="121"/>
              <w:jc w:val="center"/>
              <w:rPr>
                <w:rFonts w:ascii="宋体" w:hAnsi="宋体" w:eastAsia="宋体" w:cs="宋体"/>
                <w:sz w:val="21"/>
                <w:szCs w:val="21"/>
              </w:rPr>
            </w:pPr>
            <w:r>
              <w:rPr>
                <w:rFonts w:ascii="宋体" w:hAnsi="宋体" w:eastAsia="宋体" w:cs="宋体"/>
                <w:sz w:val="21"/>
                <w:szCs w:val="21"/>
              </w:rPr>
              <w:t>序号</w:t>
            </w:r>
          </w:p>
        </w:tc>
        <w:tc>
          <w:tcPr>
            <w:tcW w:w="1108" w:type="dxa"/>
            <w:tcBorders>
              <w:top w:val="single" w:color="000000" w:sz="4" w:space="0"/>
              <w:left w:val="single" w:color="000000" w:sz="4" w:space="0"/>
              <w:bottom w:val="single" w:color="000000" w:sz="4" w:space="0"/>
              <w:right w:val="single" w:color="000000" w:sz="4" w:space="0"/>
            </w:tcBorders>
            <w:vAlign w:val="center"/>
          </w:tcPr>
          <w:p>
            <w:pPr>
              <w:pStyle w:val="121"/>
              <w:ind w:right="3"/>
              <w:jc w:val="center"/>
              <w:rPr>
                <w:rFonts w:ascii="宋体" w:hAnsi="宋体" w:eastAsia="宋体" w:cs="宋体"/>
                <w:sz w:val="21"/>
                <w:szCs w:val="21"/>
              </w:rPr>
            </w:pPr>
            <w:r>
              <w:rPr>
                <w:rFonts w:ascii="宋体" w:hAnsi="宋体" w:eastAsia="宋体" w:cs="宋体"/>
                <w:sz w:val="21"/>
                <w:szCs w:val="21"/>
              </w:rPr>
              <w:t>污染物项目</w:t>
            </w:r>
          </w:p>
        </w:tc>
        <w:tc>
          <w:tcPr>
            <w:tcW w:w="985" w:type="dxa"/>
            <w:tcBorders>
              <w:top w:val="single" w:color="000000" w:sz="4" w:space="0"/>
              <w:left w:val="single" w:color="000000" w:sz="4" w:space="0"/>
              <w:bottom w:val="single" w:color="000000" w:sz="4" w:space="0"/>
              <w:right w:val="single" w:color="000000" w:sz="4" w:space="0"/>
            </w:tcBorders>
            <w:vAlign w:val="center"/>
          </w:tcPr>
          <w:p>
            <w:pPr>
              <w:pStyle w:val="121"/>
              <w:ind w:right="1"/>
              <w:jc w:val="center"/>
              <w:rPr>
                <w:rFonts w:ascii="宋体" w:hAnsi="宋体" w:eastAsia="宋体" w:cs="宋体"/>
                <w:sz w:val="21"/>
                <w:szCs w:val="21"/>
              </w:rPr>
            </w:pPr>
            <w:r>
              <w:rPr>
                <w:rFonts w:hint="eastAsia" w:ascii="宋体" w:hAnsi="宋体" w:eastAsia="宋体" w:cs="宋体"/>
                <w:sz w:val="21"/>
                <w:szCs w:val="21"/>
                <w:lang w:eastAsia="zh-CN"/>
              </w:rPr>
              <w:t>排放</w:t>
            </w:r>
            <w:r>
              <w:rPr>
                <w:rFonts w:ascii="宋体" w:hAnsi="宋体" w:eastAsia="宋体" w:cs="宋体"/>
                <w:sz w:val="21"/>
                <w:szCs w:val="21"/>
              </w:rPr>
              <w:t>限值</w:t>
            </w:r>
          </w:p>
        </w:tc>
        <w:tc>
          <w:tcPr>
            <w:tcW w:w="3310" w:type="dxa"/>
            <w:tcBorders>
              <w:top w:val="single" w:color="000000" w:sz="4" w:space="0"/>
              <w:left w:val="single" w:color="000000" w:sz="4" w:space="0"/>
              <w:bottom w:val="single" w:color="000000" w:sz="4" w:space="0"/>
              <w:right w:val="single" w:color="000000" w:sz="4" w:space="0"/>
            </w:tcBorders>
            <w:vAlign w:val="center"/>
          </w:tcPr>
          <w:p>
            <w:pPr>
              <w:pStyle w:val="121"/>
              <w:ind w:right="1"/>
              <w:jc w:val="center"/>
              <w:rPr>
                <w:rFonts w:ascii="宋体" w:hAnsi="宋体" w:eastAsia="宋体" w:cs="宋体"/>
                <w:sz w:val="21"/>
                <w:szCs w:val="21"/>
              </w:rPr>
            </w:pPr>
            <w:r>
              <w:rPr>
                <w:rFonts w:hint="eastAsia" w:ascii="宋体" w:hAnsi="宋体" w:eastAsia="宋体" w:cs="宋体"/>
                <w:sz w:val="21"/>
                <w:szCs w:val="21"/>
              </w:rPr>
              <w:t>限值含义</w:t>
            </w:r>
          </w:p>
        </w:tc>
        <w:tc>
          <w:tcPr>
            <w:tcW w:w="3325" w:type="dxa"/>
            <w:tcBorders>
              <w:top w:val="single" w:color="000000" w:sz="4" w:space="0"/>
              <w:left w:val="single" w:color="000000" w:sz="4" w:space="0"/>
              <w:bottom w:val="single" w:color="000000" w:sz="4" w:space="0"/>
              <w:right w:val="single" w:color="000000" w:sz="4" w:space="0"/>
            </w:tcBorders>
            <w:vAlign w:val="center"/>
          </w:tcPr>
          <w:p>
            <w:pPr>
              <w:pStyle w:val="121"/>
              <w:ind w:right="1"/>
              <w:jc w:val="center"/>
              <w:rPr>
                <w:rFonts w:ascii="宋体" w:hAnsi="宋体" w:eastAsia="宋体" w:cs="宋体"/>
                <w:sz w:val="21"/>
                <w:szCs w:val="21"/>
              </w:rPr>
            </w:pPr>
            <w:r>
              <w:rPr>
                <w:rFonts w:hint="eastAsia" w:ascii="宋体" w:hAnsi="宋体" w:eastAsia="宋体" w:cs="宋体"/>
                <w:sz w:val="21"/>
                <w:szCs w:val="21"/>
              </w:rPr>
              <w:t>无组织排放监控位置</w:t>
            </w:r>
          </w:p>
        </w:tc>
      </w:tr>
      <w:tr>
        <w:tblPrEx>
          <w:tblLayout w:type="fixed"/>
          <w:tblCellMar>
            <w:top w:w="0" w:type="dxa"/>
            <w:left w:w="0" w:type="dxa"/>
            <w:bottom w:w="0" w:type="dxa"/>
            <w:right w:w="0" w:type="dxa"/>
          </w:tblCellMar>
        </w:tblPrEx>
        <w:tc>
          <w:tcPr>
            <w:tcW w:w="617" w:type="dxa"/>
            <w:tcBorders>
              <w:top w:val="single" w:color="000000" w:sz="4" w:space="0"/>
              <w:left w:val="single" w:color="000000" w:sz="4" w:space="0"/>
              <w:bottom w:val="single" w:color="000000" w:sz="4" w:space="0"/>
              <w:right w:val="single" w:color="000000" w:sz="4" w:space="0"/>
            </w:tcBorders>
            <w:vAlign w:val="center"/>
          </w:tcPr>
          <w:p>
            <w:pPr>
              <w:pStyle w:val="121"/>
              <w:ind w:right="1"/>
              <w:jc w:val="center"/>
              <w:rPr>
                <w:rFonts w:ascii="Times New Roman" w:hAnsi="Times New Roman" w:eastAsia="Times New Roman" w:cs="Times New Roman"/>
                <w:sz w:val="21"/>
                <w:szCs w:val="21"/>
              </w:rPr>
            </w:pPr>
            <w:r>
              <w:rPr>
                <w:rFonts w:ascii="Times New Roman"/>
                <w:sz w:val="21"/>
                <w:szCs w:val="21"/>
              </w:rPr>
              <w:t>1</w:t>
            </w:r>
          </w:p>
        </w:tc>
        <w:tc>
          <w:tcPr>
            <w:tcW w:w="1108" w:type="dxa"/>
            <w:tcBorders>
              <w:top w:val="single" w:color="000000" w:sz="4" w:space="0"/>
              <w:left w:val="single" w:color="000000" w:sz="4" w:space="0"/>
              <w:bottom w:val="single" w:color="000000" w:sz="4" w:space="0"/>
              <w:right w:val="single" w:color="000000" w:sz="4" w:space="0"/>
            </w:tcBorders>
            <w:vAlign w:val="center"/>
          </w:tcPr>
          <w:p>
            <w:pPr>
              <w:pStyle w:val="121"/>
              <w:ind w:right="1"/>
              <w:jc w:val="center"/>
              <w:rPr>
                <w:rFonts w:ascii="宋体" w:hAnsi="宋体" w:eastAsia="宋体" w:cs="宋体"/>
                <w:sz w:val="21"/>
                <w:szCs w:val="21"/>
              </w:rPr>
            </w:pPr>
            <w:r>
              <w:rPr>
                <w:rFonts w:ascii="宋体" w:hAnsi="宋体" w:eastAsia="宋体" w:cs="宋体"/>
                <w:sz w:val="21"/>
                <w:szCs w:val="21"/>
              </w:rPr>
              <w:t>颗粒物</w:t>
            </w:r>
          </w:p>
        </w:tc>
        <w:tc>
          <w:tcPr>
            <w:tcW w:w="985" w:type="dxa"/>
            <w:tcBorders>
              <w:top w:val="single" w:color="000000" w:sz="4" w:space="0"/>
              <w:left w:val="single" w:color="000000" w:sz="4" w:space="0"/>
              <w:bottom w:val="single" w:color="000000" w:sz="4" w:space="0"/>
              <w:right w:val="single" w:color="000000" w:sz="4" w:space="0"/>
            </w:tcBorders>
            <w:vAlign w:val="center"/>
          </w:tcPr>
          <w:p>
            <w:pPr>
              <w:pStyle w:val="121"/>
              <w:jc w:val="center"/>
              <w:rPr>
                <w:rFonts w:ascii="Times New Roman" w:hAnsi="Times New Roman" w:eastAsia="Times New Roman" w:cs="Times New Roman"/>
                <w:sz w:val="21"/>
                <w:szCs w:val="21"/>
              </w:rPr>
            </w:pPr>
            <w:r>
              <w:rPr>
                <w:rFonts w:ascii="Times New Roman"/>
                <w:sz w:val="21"/>
                <w:szCs w:val="21"/>
              </w:rPr>
              <w:t>1.0</w:t>
            </w:r>
          </w:p>
        </w:tc>
        <w:tc>
          <w:tcPr>
            <w:tcW w:w="3310" w:type="dxa"/>
            <w:tcBorders>
              <w:top w:val="single" w:color="000000" w:sz="4" w:space="0"/>
              <w:left w:val="single" w:color="000000" w:sz="4" w:space="0"/>
              <w:bottom w:val="single" w:color="000000" w:sz="4" w:space="0"/>
              <w:right w:val="single" w:color="000000" w:sz="4" w:space="0"/>
            </w:tcBorders>
            <w:vAlign w:val="center"/>
          </w:tcPr>
          <w:p>
            <w:pPr>
              <w:pStyle w:val="121"/>
              <w:jc w:val="center"/>
              <w:rPr>
                <w:rFonts w:ascii="Times New Roman"/>
                <w:sz w:val="21"/>
                <w:szCs w:val="21"/>
                <w:lang w:eastAsia="zh-CN"/>
              </w:rPr>
            </w:pPr>
            <w:r>
              <w:rPr>
                <w:rFonts w:hint="eastAsia" w:ascii="Times New Roman"/>
                <w:sz w:val="21"/>
                <w:szCs w:val="21"/>
                <w:lang w:eastAsia="zh-CN"/>
              </w:rPr>
              <w:t>监控点与参照点总悬浮颗粒物（TSP）1h浓度值的差值</w:t>
            </w:r>
          </w:p>
        </w:tc>
        <w:tc>
          <w:tcPr>
            <w:tcW w:w="3325" w:type="dxa"/>
            <w:tcBorders>
              <w:top w:val="single" w:color="000000" w:sz="4" w:space="0"/>
              <w:left w:val="single" w:color="000000" w:sz="4" w:space="0"/>
              <w:bottom w:val="single" w:color="000000" w:sz="4" w:space="0"/>
              <w:right w:val="single" w:color="000000" w:sz="4" w:space="0"/>
            </w:tcBorders>
            <w:vAlign w:val="center"/>
          </w:tcPr>
          <w:p>
            <w:pPr>
              <w:pStyle w:val="121"/>
              <w:jc w:val="center"/>
              <w:rPr>
                <w:rFonts w:ascii="Times New Roman"/>
                <w:sz w:val="21"/>
                <w:szCs w:val="21"/>
                <w:lang w:eastAsia="zh-CN"/>
              </w:rPr>
            </w:pPr>
            <w:r>
              <w:rPr>
                <w:rFonts w:hint="eastAsia" w:ascii="Times New Roman"/>
                <w:sz w:val="21"/>
                <w:szCs w:val="21"/>
                <w:lang w:eastAsia="zh-CN"/>
              </w:rPr>
              <w:t>执行HJ/T</w:t>
            </w:r>
            <w:r>
              <w:rPr>
                <w:rFonts w:ascii="Times New Roman"/>
                <w:sz w:val="21"/>
                <w:szCs w:val="21"/>
                <w:lang w:eastAsia="zh-CN"/>
              </w:rPr>
              <w:t xml:space="preserve"> </w:t>
            </w:r>
            <w:r>
              <w:rPr>
                <w:rFonts w:hint="eastAsia" w:ascii="Times New Roman"/>
                <w:sz w:val="21"/>
                <w:szCs w:val="21"/>
                <w:lang w:eastAsia="zh-CN"/>
              </w:rPr>
              <w:t>55的规定，上风向设参照点，下风向设监控点</w:t>
            </w:r>
          </w:p>
        </w:tc>
      </w:tr>
    </w:tbl>
    <w:p>
      <w:pPr>
        <w:spacing w:before="156" w:beforeLines="50" w:after="156" w:afterLines="50"/>
      </w:pPr>
      <w:r>
        <w:rPr>
          <w:rFonts w:hint="eastAsia" w:ascii="黑体" w:eastAsia="黑体"/>
          <w:kern w:val="0"/>
          <w:szCs w:val="21"/>
        </w:rPr>
        <w:t>4.2.</w:t>
      </w:r>
      <w:r>
        <w:rPr>
          <w:rFonts w:ascii="黑体" w:eastAsia="黑体"/>
          <w:kern w:val="0"/>
          <w:szCs w:val="21"/>
        </w:rPr>
        <w:t xml:space="preserve">3 </w:t>
      </w:r>
      <w:r>
        <w:rPr>
          <w:rFonts w:ascii="黑体" w:hAnsi="黑体" w:eastAsia="黑体" w:cs="黑体"/>
          <w:kern w:val="0"/>
          <w:szCs w:val="21"/>
        </w:rPr>
        <w:t xml:space="preserve"> </w:t>
      </w:r>
      <w:r>
        <w:rPr>
          <w:rFonts w:hint="eastAsia"/>
        </w:rPr>
        <w:t>在现有企业生产、建设项目竣工环保验收后的生产过程中，负责监管的生态环境主管部门应对周围居住、教学、医疗等用途的敏感区域环境质量进行监测。建设项目的具体监控范围为环境影响评价确定的周围敏感区域；未进行过环境影响评价的现有企业，监控范围由负责监管的生态环境主管部门，根据企业排污的特点和规律及当地的自然、气象条件等因素，参照相关环境影响评价技术导则确定。地方政府应对本行政区环境质量负责，采取措施确保环境状况符合环境质量标准要求。</w:t>
      </w:r>
    </w:p>
    <w:p>
      <w:pPr>
        <w:tabs>
          <w:tab w:val="left" w:pos="644"/>
          <w:tab w:val="left" w:pos="2113"/>
        </w:tabs>
        <w:spacing w:before="156" w:beforeLines="50" w:after="156" w:afterLines="50"/>
        <w:rPr>
          <w:rFonts w:ascii="黑体" w:hAnsi="黑体" w:eastAsia="黑体" w:cs="黑体"/>
          <w:kern w:val="0"/>
          <w:szCs w:val="21"/>
        </w:rPr>
      </w:pPr>
      <w:r>
        <w:rPr>
          <w:rFonts w:hint="eastAsia" w:ascii="黑体" w:hAnsi="黑体" w:eastAsia="黑体" w:cs="黑体"/>
          <w:szCs w:val="21"/>
        </w:rPr>
        <w:t>4.3   废气收集与排放</w:t>
      </w:r>
    </w:p>
    <w:p>
      <w:pPr>
        <w:spacing w:before="156" w:beforeLines="50" w:after="156" w:afterLines="50"/>
      </w:pPr>
      <w:r>
        <w:rPr>
          <w:rFonts w:hint="eastAsia" w:ascii="黑体" w:eastAsia="黑体"/>
          <w:kern w:val="0"/>
          <w:szCs w:val="21"/>
        </w:rPr>
        <w:t>4.3.</w:t>
      </w:r>
      <w:r>
        <w:rPr>
          <w:rFonts w:ascii="黑体" w:eastAsia="黑体"/>
          <w:kern w:val="0"/>
          <w:szCs w:val="21"/>
        </w:rPr>
        <w:t>1</w:t>
      </w:r>
      <w:r>
        <w:rPr>
          <w:rFonts w:ascii="黑体" w:hAnsi="黑体" w:eastAsia="黑体" w:cs="黑体"/>
          <w:kern w:val="0"/>
          <w:szCs w:val="21"/>
        </w:rPr>
        <w:t xml:space="preserve"> </w:t>
      </w:r>
      <w:r>
        <w:rPr>
          <w:rFonts w:hint="eastAsia"/>
        </w:rPr>
        <w:t>产生大气污染物的生产工艺和装置需设立局部或整体气体收集系统和净化处理装置，达标排放。</w:t>
      </w:r>
    </w:p>
    <w:p>
      <w:pPr>
        <w:spacing w:before="156" w:beforeLines="50" w:after="156" w:afterLines="50"/>
      </w:pPr>
      <w:r>
        <w:rPr>
          <w:rFonts w:hint="eastAsia" w:ascii="黑体" w:eastAsia="黑体"/>
          <w:kern w:val="0"/>
          <w:szCs w:val="21"/>
        </w:rPr>
        <w:t>4.3.2</w:t>
      </w:r>
      <w:r>
        <w:rPr>
          <w:rFonts w:ascii="黑体" w:eastAsia="黑体"/>
          <w:kern w:val="0"/>
          <w:szCs w:val="21"/>
        </w:rPr>
        <w:t xml:space="preserve">  </w:t>
      </w:r>
      <w:r>
        <w:rPr>
          <w:rFonts w:hint="eastAsia"/>
        </w:rPr>
        <w:t>所有排气筒高度应不低于15m。排气筒周围半径200m 范围内有建筑物时，排气筒高度还应高出最高建筑物3m 以上。</w:t>
      </w:r>
    </w:p>
    <w:p>
      <w:pPr>
        <w:pStyle w:val="2"/>
        <w:spacing w:before="312" w:after="312"/>
      </w:pPr>
      <w:bookmarkStart w:id="6" w:name="_Toc447722482"/>
      <w:r>
        <w:t>5</w:t>
      </w:r>
      <w:r>
        <w:rPr>
          <w:rFonts w:hint="eastAsia"/>
        </w:rPr>
        <w:t xml:space="preserve"> </w:t>
      </w:r>
      <w:r>
        <w:t xml:space="preserve"> </w:t>
      </w:r>
      <w:bookmarkStart w:id="7" w:name="_Hlk529378793"/>
      <w:r>
        <w:rPr>
          <w:rFonts w:hint="eastAsia"/>
        </w:rPr>
        <w:t>大气污染物监测要求</w:t>
      </w:r>
      <w:bookmarkEnd w:id="6"/>
      <w:bookmarkEnd w:id="7"/>
    </w:p>
    <w:p>
      <w:pPr>
        <w:pStyle w:val="21"/>
        <w:spacing w:before="156" w:beforeLines="50" w:after="156" w:afterLines="50"/>
      </w:pPr>
      <w:bookmarkStart w:id="8" w:name="_Toc447722483"/>
      <w:r>
        <w:rPr>
          <w:rFonts w:ascii="黑体" w:hAnsi="黑体" w:eastAsia="黑体" w:cs="黑体"/>
          <w:kern w:val="0"/>
          <w:szCs w:val="21"/>
        </w:rPr>
        <w:t xml:space="preserve">5.1  </w:t>
      </w:r>
      <w:r>
        <w:rPr>
          <w:rFonts w:hint="eastAsia"/>
        </w:rPr>
        <w:t>对企业排放废气的采样应根据监测污染物的种类，在规定的污染物排放监控位置进行，有废气处理设施的，应在该设施后监控。在污染物排放监控位置需设置永久性排污口标志。</w:t>
      </w:r>
    </w:p>
    <w:p>
      <w:pPr>
        <w:pStyle w:val="21"/>
        <w:tabs>
          <w:tab w:val="left" w:pos="953"/>
        </w:tabs>
        <w:spacing w:before="156" w:beforeLines="50" w:after="156" w:afterLines="50"/>
        <w:ind w:right="235"/>
      </w:pPr>
      <w:r>
        <w:rPr>
          <w:rFonts w:ascii="黑体" w:hAnsi="黑体" w:eastAsia="黑体" w:cs="黑体"/>
          <w:kern w:val="0"/>
          <w:szCs w:val="21"/>
        </w:rPr>
        <w:t>5.2</w:t>
      </w:r>
      <w:r>
        <w:rPr>
          <w:rFonts w:ascii="黑体" w:hAnsi="黑体" w:eastAsia="黑体" w:cs="黑体"/>
        </w:rPr>
        <w:t xml:space="preserve">  </w:t>
      </w:r>
      <w:r>
        <w:t>新建企业和现有企业安装污染物排放自动监控设备的要求，按有关法律和《污染源自动监控管理办法》的规定执行。</w:t>
      </w:r>
      <w:r>
        <w:rPr>
          <w:rFonts w:hint="eastAsia"/>
        </w:rPr>
        <w:t>在线监测以日均值作为达标判定依据，非正常情况达标判定参照HJ</w:t>
      </w:r>
      <w:r>
        <w:t xml:space="preserve"> </w:t>
      </w:r>
      <w:r>
        <w:rPr>
          <w:rFonts w:hint="eastAsia"/>
        </w:rPr>
        <w:t>856的有关规定执行。</w:t>
      </w:r>
    </w:p>
    <w:p>
      <w:pPr>
        <w:pStyle w:val="21"/>
        <w:spacing w:before="156" w:beforeLines="50" w:after="156" w:afterLines="50"/>
      </w:pPr>
      <w:r>
        <w:rPr>
          <w:rFonts w:ascii="黑体" w:hAnsi="黑体" w:eastAsia="黑体" w:cs="黑体"/>
          <w:kern w:val="0"/>
          <w:szCs w:val="21"/>
        </w:rPr>
        <w:t>5.</w:t>
      </w:r>
      <w:r>
        <w:rPr>
          <w:rFonts w:hint="eastAsia" w:ascii="黑体" w:hAnsi="黑体" w:eastAsia="黑体" w:cs="黑体"/>
          <w:kern w:val="0"/>
          <w:szCs w:val="21"/>
        </w:rPr>
        <w:t>3</w:t>
      </w:r>
      <w:r>
        <w:rPr>
          <w:rFonts w:ascii="黑体" w:hAnsi="黑体" w:eastAsia="黑体" w:cs="黑体"/>
        </w:rPr>
        <w:t xml:space="preserve">  </w:t>
      </w:r>
      <w:r>
        <w:rPr>
          <w:rFonts w:hint="eastAsia"/>
        </w:rPr>
        <w:t>对企业大气污染物排放情况进行监测的频次、采样时间等要求，按国家有关污染源监测技术规范的规定执行。</w:t>
      </w:r>
    </w:p>
    <w:p>
      <w:pPr>
        <w:pStyle w:val="21"/>
        <w:tabs>
          <w:tab w:val="left" w:pos="953"/>
        </w:tabs>
        <w:spacing w:before="156" w:beforeLines="50" w:after="156" w:afterLines="50"/>
        <w:ind w:right="232"/>
      </w:pPr>
      <w:r>
        <w:rPr>
          <w:rFonts w:ascii="黑体" w:hAnsi="黑体" w:eastAsia="黑体" w:cs="黑体"/>
          <w:kern w:val="0"/>
          <w:szCs w:val="21"/>
        </w:rPr>
        <w:t>5</w:t>
      </w:r>
      <w:r>
        <w:rPr>
          <w:rFonts w:hint="eastAsia" w:ascii="黑体" w:hAnsi="黑体" w:eastAsia="黑体" w:cs="黑体"/>
          <w:kern w:val="0"/>
          <w:szCs w:val="21"/>
        </w:rPr>
        <w:t>.4</w:t>
      </w:r>
      <w:r>
        <w:rPr>
          <w:rFonts w:ascii="黑体" w:hAnsi="黑体" w:eastAsia="黑体" w:cs="黑体"/>
        </w:rPr>
        <w:t xml:space="preserve">  </w:t>
      </w:r>
      <w:r>
        <w:t>排气筒中大气污染物的监测采样按</w:t>
      </w:r>
      <w:r>
        <w:rPr>
          <w:spacing w:val="-54"/>
        </w:rPr>
        <w:t xml:space="preserve"> </w:t>
      </w:r>
      <w:r>
        <w:rPr>
          <w:rFonts w:eastAsia="Times New Roman"/>
        </w:rPr>
        <w:t>GB/T</w:t>
      </w:r>
      <w:r>
        <w:rPr>
          <w:rFonts w:eastAsia="Times New Roman"/>
          <w:spacing w:val="-6"/>
        </w:rPr>
        <w:t xml:space="preserve"> </w:t>
      </w:r>
      <w:r>
        <w:rPr>
          <w:rFonts w:eastAsia="Times New Roman"/>
        </w:rPr>
        <w:t>16157</w:t>
      </w:r>
      <w:r>
        <w:t>、</w:t>
      </w:r>
      <w:r>
        <w:rPr>
          <w:rFonts w:eastAsia="Times New Roman"/>
        </w:rPr>
        <w:t>HJ/T</w:t>
      </w:r>
      <w:r>
        <w:rPr>
          <w:rFonts w:eastAsia="Times New Roman"/>
          <w:spacing w:val="-6"/>
        </w:rPr>
        <w:t xml:space="preserve"> </w:t>
      </w:r>
      <w:r>
        <w:rPr>
          <w:rFonts w:eastAsia="Times New Roman"/>
        </w:rPr>
        <w:t>397</w:t>
      </w:r>
      <w:r>
        <w:rPr>
          <w:rFonts w:eastAsia="Times New Roman"/>
          <w:spacing w:val="-3"/>
        </w:rPr>
        <w:t xml:space="preserve"> </w:t>
      </w:r>
      <w:r>
        <w:t>或</w:t>
      </w:r>
      <w:r>
        <w:rPr>
          <w:spacing w:val="-55"/>
        </w:rPr>
        <w:t xml:space="preserve"> </w:t>
      </w:r>
      <w:r>
        <w:rPr>
          <w:rFonts w:eastAsia="Times New Roman"/>
        </w:rPr>
        <w:t>HJ</w:t>
      </w:r>
      <w:r>
        <w:rPr>
          <w:rFonts w:eastAsia="Times New Roman"/>
          <w:spacing w:val="-6"/>
        </w:rPr>
        <w:t xml:space="preserve"> </w:t>
      </w:r>
      <w:r>
        <w:rPr>
          <w:rFonts w:eastAsia="Times New Roman"/>
          <w:spacing w:val="-3"/>
        </w:rPr>
        <w:t>75</w:t>
      </w:r>
      <w:r>
        <w:t>的规定执行</w:t>
      </w:r>
      <w:r>
        <w:rPr>
          <w:rFonts w:hint="eastAsia"/>
        </w:rPr>
        <w:t>；</w:t>
      </w:r>
      <w:r>
        <w:t>大气污染物</w:t>
      </w:r>
      <w:r>
        <w:rPr>
          <w:rFonts w:hint="eastAsia"/>
        </w:rPr>
        <w:t>无组织排放的</w:t>
      </w:r>
      <w:r>
        <w:t>监测按</w:t>
      </w:r>
      <w:r>
        <w:rPr>
          <w:spacing w:val="-59"/>
        </w:rPr>
        <w:t xml:space="preserve"> </w:t>
      </w:r>
      <w:r>
        <w:rPr>
          <w:rFonts w:eastAsia="Times New Roman"/>
        </w:rPr>
        <w:t xml:space="preserve">HJ/T 55 </w:t>
      </w:r>
      <w:r>
        <w:t>的规定执行。</w:t>
      </w:r>
    </w:p>
    <w:p>
      <w:pPr>
        <w:pStyle w:val="21"/>
        <w:tabs>
          <w:tab w:val="left" w:pos="953"/>
        </w:tabs>
        <w:spacing w:before="156" w:beforeLines="50" w:after="156" w:afterLines="50"/>
        <w:ind w:right="232"/>
      </w:pPr>
      <w:r>
        <w:rPr>
          <w:rFonts w:ascii="黑体" w:hAnsi="黑体" w:eastAsia="黑体" w:cs="黑体"/>
          <w:kern w:val="0"/>
          <w:szCs w:val="21"/>
        </w:rPr>
        <w:t xml:space="preserve">5.5  </w:t>
      </w:r>
      <w:r>
        <w:t>对大气污染物</w:t>
      </w:r>
      <w:r>
        <w:rPr>
          <w:rFonts w:hint="eastAsia"/>
        </w:rPr>
        <w:t>排放</w:t>
      </w:r>
      <w:r>
        <w:t>浓度的测定采用表</w:t>
      </w:r>
      <w:r>
        <w:rPr>
          <w:rFonts w:hint="eastAsia"/>
        </w:rPr>
        <w:t>3</w:t>
      </w:r>
      <w:r>
        <w:t>所列的方法标准。</w:t>
      </w:r>
    </w:p>
    <w:p>
      <w:pPr>
        <w:pStyle w:val="21"/>
        <w:tabs>
          <w:tab w:val="left" w:pos="3323"/>
        </w:tabs>
        <w:spacing w:after="0"/>
        <w:ind w:left="2693" w:right="233"/>
        <w:rPr>
          <w:rFonts w:ascii="黑体" w:hAnsi="黑体" w:eastAsia="黑体" w:cs="黑体"/>
        </w:rPr>
      </w:pPr>
      <w:r>
        <w:rPr>
          <w:rFonts w:ascii="黑体" w:hAnsi="黑体" w:eastAsia="黑体" w:cs="黑体"/>
        </w:rPr>
        <w:t>表</w:t>
      </w:r>
      <w:r>
        <w:rPr>
          <w:rFonts w:hint="eastAsia" w:ascii="黑体" w:hAnsi="黑体" w:eastAsia="黑体" w:cs="黑体"/>
        </w:rPr>
        <w:t>3</w:t>
      </w:r>
      <w:r>
        <w:rPr>
          <w:rFonts w:ascii="黑体" w:hAnsi="黑体" w:eastAsia="黑体" w:cs="黑体"/>
        </w:rPr>
        <w:t xml:space="preserve">  大气污染物浓度测定方法标准</w:t>
      </w:r>
    </w:p>
    <w:tbl>
      <w:tblPr>
        <w:tblStyle w:val="120"/>
        <w:tblW w:w="93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92"/>
        <w:gridCol w:w="1577"/>
        <w:gridCol w:w="5768"/>
        <w:gridCol w:w="13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blHeader/>
        </w:trPr>
        <w:tc>
          <w:tcPr>
            <w:tcW w:w="692" w:type="dxa"/>
            <w:vAlign w:val="center"/>
          </w:tcPr>
          <w:p>
            <w:pPr>
              <w:pStyle w:val="121"/>
              <w:jc w:val="center"/>
              <w:rPr>
                <w:rFonts w:ascii="Times New Roman" w:hAnsi="Times New Roman" w:eastAsia="宋体" w:cs="Times New Roman"/>
                <w:kern w:val="2"/>
                <w:sz w:val="21"/>
                <w:szCs w:val="24"/>
                <w:lang w:eastAsia="zh-CN"/>
              </w:rPr>
            </w:pPr>
            <w:r>
              <w:rPr>
                <w:rFonts w:ascii="Times New Roman" w:hAnsi="Times New Roman" w:eastAsia="宋体" w:cs="Times New Roman"/>
                <w:kern w:val="2"/>
                <w:sz w:val="21"/>
                <w:szCs w:val="24"/>
                <w:lang w:eastAsia="zh-CN"/>
              </w:rPr>
              <w:t>序号</w:t>
            </w:r>
          </w:p>
        </w:tc>
        <w:tc>
          <w:tcPr>
            <w:tcW w:w="1577" w:type="dxa"/>
            <w:vAlign w:val="center"/>
          </w:tcPr>
          <w:p>
            <w:pPr>
              <w:pStyle w:val="121"/>
              <w:jc w:val="center"/>
              <w:rPr>
                <w:rFonts w:ascii="Times New Roman" w:hAnsi="Times New Roman" w:eastAsia="宋体" w:cs="Times New Roman"/>
                <w:kern w:val="2"/>
                <w:sz w:val="21"/>
                <w:szCs w:val="24"/>
                <w:lang w:eastAsia="zh-CN"/>
              </w:rPr>
            </w:pPr>
            <w:r>
              <w:rPr>
                <w:rFonts w:ascii="Times New Roman" w:hAnsi="Times New Roman" w:eastAsia="宋体" w:cs="Times New Roman"/>
                <w:kern w:val="2"/>
                <w:sz w:val="21"/>
                <w:szCs w:val="24"/>
                <w:lang w:eastAsia="zh-CN"/>
              </w:rPr>
              <w:t>污染物项目</w:t>
            </w:r>
          </w:p>
        </w:tc>
        <w:tc>
          <w:tcPr>
            <w:tcW w:w="5768" w:type="dxa"/>
            <w:vAlign w:val="center"/>
          </w:tcPr>
          <w:p>
            <w:pPr>
              <w:pStyle w:val="121"/>
              <w:jc w:val="center"/>
              <w:rPr>
                <w:rFonts w:ascii="Times New Roman" w:hAnsi="Times New Roman" w:eastAsia="宋体" w:cs="Times New Roman"/>
                <w:kern w:val="2"/>
                <w:sz w:val="21"/>
                <w:szCs w:val="24"/>
                <w:lang w:eastAsia="zh-CN"/>
              </w:rPr>
            </w:pPr>
            <w:r>
              <w:rPr>
                <w:rFonts w:ascii="Times New Roman" w:hAnsi="Times New Roman" w:eastAsia="宋体" w:cs="Times New Roman"/>
                <w:kern w:val="2"/>
                <w:sz w:val="21"/>
                <w:szCs w:val="24"/>
                <w:lang w:eastAsia="zh-CN"/>
              </w:rPr>
              <w:t>标准名称</w:t>
            </w:r>
          </w:p>
        </w:tc>
        <w:tc>
          <w:tcPr>
            <w:tcW w:w="1308" w:type="dxa"/>
            <w:vAlign w:val="center"/>
          </w:tcPr>
          <w:p>
            <w:pPr>
              <w:pStyle w:val="121"/>
              <w:jc w:val="center"/>
              <w:rPr>
                <w:rFonts w:ascii="Times New Roman" w:hAnsi="Times New Roman" w:eastAsia="宋体" w:cs="Times New Roman"/>
                <w:kern w:val="2"/>
                <w:sz w:val="21"/>
                <w:szCs w:val="24"/>
                <w:lang w:eastAsia="zh-CN"/>
              </w:rPr>
            </w:pPr>
            <w:r>
              <w:rPr>
                <w:rFonts w:ascii="Times New Roman" w:hAnsi="Times New Roman" w:eastAsia="宋体" w:cs="Times New Roman"/>
                <w:kern w:val="2"/>
                <w:sz w:val="21"/>
                <w:szCs w:val="24"/>
                <w:lang w:eastAsia="zh-CN"/>
              </w:rPr>
              <w:t>标准编号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692" w:type="dxa"/>
            <w:vMerge w:val="restart"/>
            <w:vAlign w:val="center"/>
          </w:tcPr>
          <w:p>
            <w:pPr>
              <w:pStyle w:val="121"/>
              <w:jc w:val="center"/>
              <w:rPr>
                <w:rFonts w:ascii="Times New Roman" w:hAnsi="Times New Roman" w:eastAsia="宋体" w:cs="Times New Roman"/>
                <w:kern w:val="2"/>
                <w:sz w:val="21"/>
                <w:szCs w:val="24"/>
                <w:lang w:eastAsia="zh-CN"/>
              </w:rPr>
            </w:pPr>
            <w:r>
              <w:rPr>
                <w:rFonts w:ascii="Times New Roman" w:hAnsi="Times New Roman" w:eastAsia="宋体" w:cs="Times New Roman"/>
                <w:kern w:val="2"/>
                <w:sz w:val="21"/>
                <w:szCs w:val="24"/>
                <w:lang w:eastAsia="zh-CN"/>
              </w:rPr>
              <w:t>1</w:t>
            </w:r>
          </w:p>
        </w:tc>
        <w:tc>
          <w:tcPr>
            <w:tcW w:w="1577" w:type="dxa"/>
            <w:vMerge w:val="restart"/>
            <w:vAlign w:val="center"/>
          </w:tcPr>
          <w:p>
            <w:pPr>
              <w:pStyle w:val="121"/>
              <w:jc w:val="center"/>
              <w:rPr>
                <w:rFonts w:ascii="Times New Roman" w:hAnsi="Times New Roman" w:eastAsia="宋体" w:cs="Times New Roman"/>
                <w:kern w:val="2"/>
                <w:sz w:val="21"/>
                <w:szCs w:val="24"/>
                <w:lang w:eastAsia="zh-CN"/>
              </w:rPr>
            </w:pPr>
            <w:r>
              <w:rPr>
                <w:rFonts w:ascii="Times New Roman" w:hAnsi="Times New Roman" w:eastAsia="宋体" w:cs="Times New Roman"/>
                <w:kern w:val="2"/>
                <w:sz w:val="21"/>
                <w:szCs w:val="24"/>
                <w:lang w:eastAsia="zh-CN"/>
              </w:rPr>
              <w:t>颗粒物</w:t>
            </w:r>
          </w:p>
        </w:tc>
        <w:tc>
          <w:tcPr>
            <w:tcW w:w="5768" w:type="dxa"/>
            <w:vAlign w:val="center"/>
          </w:tcPr>
          <w:p>
            <w:pPr>
              <w:pStyle w:val="121"/>
              <w:jc w:val="both"/>
              <w:rPr>
                <w:rFonts w:ascii="Times New Roman" w:hAnsi="Times New Roman" w:eastAsia="宋体" w:cs="Times New Roman"/>
                <w:kern w:val="2"/>
                <w:sz w:val="21"/>
                <w:szCs w:val="24"/>
                <w:lang w:eastAsia="zh-CN"/>
              </w:rPr>
            </w:pPr>
            <w:r>
              <w:rPr>
                <w:rFonts w:ascii="Times New Roman" w:hAnsi="Times New Roman" w:eastAsia="宋体" w:cs="Times New Roman"/>
                <w:kern w:val="2"/>
                <w:sz w:val="21"/>
                <w:szCs w:val="24"/>
                <w:lang w:eastAsia="zh-CN"/>
              </w:rPr>
              <w:t>环境空气 总悬浮颗粒物的测定 重量法</w:t>
            </w:r>
          </w:p>
        </w:tc>
        <w:tc>
          <w:tcPr>
            <w:tcW w:w="1308" w:type="dxa"/>
            <w:vAlign w:val="center"/>
          </w:tcPr>
          <w:p>
            <w:pPr>
              <w:pStyle w:val="121"/>
              <w:jc w:val="both"/>
              <w:rPr>
                <w:rFonts w:ascii="Times New Roman" w:hAnsi="Times New Roman" w:eastAsia="宋体" w:cs="Times New Roman"/>
                <w:kern w:val="2"/>
                <w:sz w:val="21"/>
                <w:szCs w:val="24"/>
                <w:lang w:eastAsia="zh-CN"/>
              </w:rPr>
            </w:pPr>
            <w:r>
              <w:rPr>
                <w:rFonts w:ascii="Times New Roman" w:hAnsi="Times New Roman" w:eastAsia="宋体" w:cs="Times New Roman"/>
                <w:kern w:val="2"/>
                <w:sz w:val="21"/>
                <w:szCs w:val="24"/>
                <w:lang w:eastAsia="zh-CN"/>
              </w:rPr>
              <w:t>GB/T 15432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692" w:type="dxa"/>
            <w:vMerge w:val="continue"/>
            <w:vAlign w:val="center"/>
          </w:tcPr>
          <w:p>
            <w:pPr>
              <w:pStyle w:val="121"/>
              <w:jc w:val="center"/>
              <w:rPr>
                <w:rFonts w:ascii="Times New Roman" w:hAnsi="Times New Roman" w:eastAsia="宋体" w:cs="Times New Roman"/>
                <w:kern w:val="2"/>
                <w:sz w:val="21"/>
                <w:szCs w:val="24"/>
                <w:lang w:eastAsia="zh-CN"/>
              </w:rPr>
            </w:pPr>
          </w:p>
        </w:tc>
        <w:tc>
          <w:tcPr>
            <w:tcW w:w="1577" w:type="dxa"/>
            <w:vMerge w:val="continue"/>
            <w:vAlign w:val="center"/>
          </w:tcPr>
          <w:p>
            <w:pPr>
              <w:pStyle w:val="121"/>
              <w:jc w:val="center"/>
              <w:rPr>
                <w:rFonts w:ascii="Times New Roman" w:hAnsi="Times New Roman" w:eastAsia="宋体" w:cs="Times New Roman"/>
                <w:kern w:val="2"/>
                <w:sz w:val="21"/>
                <w:szCs w:val="24"/>
                <w:lang w:eastAsia="zh-CN"/>
              </w:rPr>
            </w:pPr>
          </w:p>
        </w:tc>
        <w:tc>
          <w:tcPr>
            <w:tcW w:w="5768" w:type="dxa"/>
            <w:vAlign w:val="center"/>
          </w:tcPr>
          <w:p>
            <w:pPr>
              <w:pStyle w:val="121"/>
              <w:jc w:val="both"/>
              <w:rPr>
                <w:rFonts w:ascii="Times New Roman" w:hAnsi="Times New Roman" w:eastAsia="宋体" w:cs="Times New Roman"/>
                <w:kern w:val="2"/>
                <w:sz w:val="21"/>
                <w:szCs w:val="24"/>
                <w:lang w:eastAsia="zh-CN"/>
              </w:rPr>
            </w:pPr>
            <w:r>
              <w:rPr>
                <w:rFonts w:ascii="Times New Roman" w:hAnsi="Times New Roman" w:eastAsia="宋体" w:cs="Times New Roman"/>
                <w:kern w:val="2"/>
                <w:sz w:val="21"/>
                <w:szCs w:val="24"/>
                <w:lang w:eastAsia="zh-CN"/>
              </w:rPr>
              <w:t>固定污染源排气中颗粒物测定与气态污染物采样方法</w:t>
            </w:r>
          </w:p>
        </w:tc>
        <w:tc>
          <w:tcPr>
            <w:tcW w:w="1308" w:type="dxa"/>
            <w:vAlign w:val="center"/>
          </w:tcPr>
          <w:p>
            <w:pPr>
              <w:pStyle w:val="121"/>
              <w:jc w:val="both"/>
              <w:rPr>
                <w:rFonts w:ascii="Times New Roman" w:hAnsi="Times New Roman" w:eastAsia="宋体" w:cs="Times New Roman"/>
                <w:kern w:val="2"/>
                <w:sz w:val="21"/>
                <w:szCs w:val="24"/>
                <w:lang w:eastAsia="zh-CN"/>
              </w:rPr>
            </w:pPr>
            <w:r>
              <w:rPr>
                <w:rFonts w:ascii="Times New Roman" w:hAnsi="Times New Roman" w:eastAsia="宋体" w:cs="Times New Roman"/>
                <w:kern w:val="2"/>
                <w:sz w:val="21"/>
                <w:szCs w:val="24"/>
                <w:lang w:eastAsia="zh-CN"/>
              </w:rPr>
              <w:t>GB/T 16157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692" w:type="dxa"/>
            <w:vMerge w:val="continue"/>
            <w:vAlign w:val="center"/>
          </w:tcPr>
          <w:p>
            <w:pPr>
              <w:jc w:val="center"/>
              <w:rPr>
                <w:rFonts w:asciiTheme="minorHAnsi" w:hAnsiTheme="minorHAnsi" w:eastAsiaTheme="minorEastAsia" w:cstheme="minorBidi"/>
                <w:lang w:eastAsia="en-US"/>
              </w:rPr>
            </w:pPr>
          </w:p>
        </w:tc>
        <w:tc>
          <w:tcPr>
            <w:tcW w:w="1577" w:type="dxa"/>
            <w:vMerge w:val="continue"/>
            <w:vAlign w:val="center"/>
          </w:tcPr>
          <w:p>
            <w:pPr>
              <w:jc w:val="center"/>
              <w:rPr>
                <w:rFonts w:asciiTheme="minorHAnsi" w:hAnsiTheme="minorHAnsi" w:eastAsiaTheme="minorEastAsia" w:cstheme="minorBidi"/>
                <w:lang w:eastAsia="en-US"/>
              </w:rPr>
            </w:pPr>
          </w:p>
        </w:tc>
        <w:tc>
          <w:tcPr>
            <w:tcW w:w="5768" w:type="dxa"/>
            <w:vAlign w:val="center"/>
          </w:tcPr>
          <w:p>
            <w:pPr>
              <w:pStyle w:val="121"/>
              <w:jc w:val="both"/>
              <w:rPr>
                <w:rFonts w:ascii="Times New Roman" w:hAnsi="Times New Roman" w:eastAsia="宋体" w:cs="Times New Roman"/>
                <w:kern w:val="2"/>
                <w:sz w:val="21"/>
                <w:szCs w:val="24"/>
                <w:lang w:eastAsia="zh-CN"/>
              </w:rPr>
            </w:pPr>
            <w:r>
              <w:rPr>
                <w:rFonts w:ascii="Times New Roman" w:hAnsi="Times New Roman" w:eastAsia="宋体" w:cs="Times New Roman"/>
                <w:kern w:val="2"/>
                <w:sz w:val="21"/>
                <w:szCs w:val="24"/>
                <w:lang w:eastAsia="zh-CN"/>
              </w:rPr>
              <w:t>固定污染源</w:t>
            </w:r>
            <w:r>
              <w:rPr>
                <w:rFonts w:hint="eastAsia" w:ascii="Times New Roman" w:hAnsi="Times New Roman" w:eastAsia="宋体" w:cs="Times New Roman"/>
                <w:kern w:val="2"/>
                <w:sz w:val="21"/>
                <w:szCs w:val="24"/>
                <w:lang w:eastAsia="zh-CN"/>
              </w:rPr>
              <w:t>烟气排放连续监测系统技术要求及检测方法</w:t>
            </w:r>
          </w:p>
        </w:tc>
        <w:tc>
          <w:tcPr>
            <w:tcW w:w="1308" w:type="dxa"/>
            <w:vAlign w:val="center"/>
          </w:tcPr>
          <w:p>
            <w:pPr>
              <w:pStyle w:val="121"/>
              <w:jc w:val="both"/>
              <w:rPr>
                <w:rFonts w:ascii="Times New Roman" w:hAnsi="Times New Roman" w:eastAsia="宋体" w:cs="Times New Roman"/>
                <w:kern w:val="2"/>
                <w:sz w:val="21"/>
                <w:szCs w:val="24"/>
                <w:lang w:eastAsia="zh-CN"/>
              </w:rPr>
            </w:pPr>
            <w:r>
              <w:rPr>
                <w:rFonts w:hint="eastAsia" w:ascii="Times New Roman" w:hAnsi="Times New Roman" w:eastAsia="宋体" w:cs="Times New Roman"/>
                <w:kern w:val="2"/>
                <w:sz w:val="21"/>
                <w:szCs w:val="24"/>
                <w:lang w:eastAsia="zh-CN"/>
              </w:rPr>
              <w:t>H</w:t>
            </w:r>
            <w:r>
              <w:rPr>
                <w:rFonts w:ascii="Times New Roman" w:hAnsi="Times New Roman" w:eastAsia="宋体" w:cs="Times New Roman"/>
                <w:kern w:val="2"/>
                <w:sz w:val="21"/>
                <w:szCs w:val="24"/>
                <w:lang w:eastAsia="zh-CN"/>
              </w:rPr>
              <w:t>J 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692" w:type="dxa"/>
            <w:vMerge w:val="continue"/>
            <w:vAlign w:val="center"/>
          </w:tcPr>
          <w:p>
            <w:pPr>
              <w:jc w:val="center"/>
              <w:rPr>
                <w:rFonts w:ascii="Times New Roman" w:hAnsi="Times New Roman" w:eastAsia="宋体" w:cs="Times New Roman"/>
                <w:lang w:eastAsia="zh-CN"/>
              </w:rPr>
            </w:pPr>
          </w:p>
        </w:tc>
        <w:tc>
          <w:tcPr>
            <w:tcW w:w="1577" w:type="dxa"/>
            <w:vMerge w:val="continue"/>
            <w:vAlign w:val="center"/>
          </w:tcPr>
          <w:p>
            <w:pPr>
              <w:jc w:val="center"/>
              <w:rPr>
                <w:rFonts w:ascii="Times New Roman" w:hAnsi="Times New Roman" w:eastAsia="宋体" w:cs="Times New Roman"/>
                <w:lang w:eastAsia="zh-CN"/>
              </w:rPr>
            </w:pPr>
          </w:p>
        </w:tc>
        <w:tc>
          <w:tcPr>
            <w:tcW w:w="5768" w:type="dxa"/>
            <w:vAlign w:val="center"/>
          </w:tcPr>
          <w:p>
            <w:pPr>
              <w:pStyle w:val="121"/>
              <w:jc w:val="both"/>
              <w:rPr>
                <w:rFonts w:ascii="Times New Roman" w:hAnsi="Times New Roman" w:eastAsia="宋体" w:cs="Times New Roman"/>
                <w:kern w:val="2"/>
                <w:sz w:val="21"/>
                <w:szCs w:val="24"/>
                <w:lang w:eastAsia="zh-CN"/>
              </w:rPr>
            </w:pPr>
            <w:r>
              <w:rPr>
                <w:rFonts w:hint="eastAsia" w:ascii="Times New Roman" w:hAnsi="Times New Roman" w:eastAsia="宋体" w:cs="Times New Roman"/>
                <w:kern w:val="2"/>
                <w:sz w:val="21"/>
                <w:szCs w:val="24"/>
                <w:lang w:eastAsia="zh-CN"/>
              </w:rPr>
              <w:t>固定污染源废气  低浓度颗粒物的测定 重量法</w:t>
            </w:r>
          </w:p>
        </w:tc>
        <w:tc>
          <w:tcPr>
            <w:tcW w:w="1308" w:type="dxa"/>
            <w:vAlign w:val="center"/>
          </w:tcPr>
          <w:p>
            <w:pPr>
              <w:pStyle w:val="121"/>
              <w:jc w:val="both"/>
              <w:rPr>
                <w:rFonts w:ascii="Times New Roman" w:hAnsi="Times New Roman" w:eastAsia="宋体" w:cs="Times New Roman"/>
                <w:kern w:val="2"/>
                <w:sz w:val="21"/>
                <w:szCs w:val="24"/>
                <w:lang w:eastAsia="zh-CN"/>
              </w:rPr>
            </w:pPr>
            <w:r>
              <w:rPr>
                <w:rFonts w:hint="eastAsia" w:ascii="Times New Roman" w:hAnsi="Times New Roman" w:eastAsia="宋体" w:cs="Times New Roman"/>
                <w:kern w:val="2"/>
                <w:sz w:val="21"/>
                <w:szCs w:val="24"/>
                <w:lang w:eastAsia="zh-CN"/>
              </w:rPr>
              <w:t>HJ 836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692" w:type="dxa"/>
            <w:vMerge w:val="restart"/>
            <w:vAlign w:val="center"/>
          </w:tcPr>
          <w:p>
            <w:pPr>
              <w:pStyle w:val="121"/>
              <w:jc w:val="center"/>
              <w:rPr>
                <w:rFonts w:ascii="Times New Roman" w:hAnsi="Times New Roman" w:eastAsia="宋体" w:cs="Times New Roman"/>
                <w:kern w:val="2"/>
                <w:sz w:val="21"/>
                <w:szCs w:val="24"/>
                <w:lang w:eastAsia="zh-CN"/>
              </w:rPr>
            </w:pPr>
            <w:r>
              <w:rPr>
                <w:rFonts w:hint="eastAsia" w:ascii="Times New Roman" w:hAnsi="Times New Roman" w:eastAsia="宋体" w:cs="Times New Roman"/>
                <w:kern w:val="2"/>
                <w:sz w:val="21"/>
                <w:szCs w:val="24"/>
                <w:lang w:eastAsia="zh-CN"/>
              </w:rPr>
              <w:t>2</w:t>
            </w:r>
          </w:p>
        </w:tc>
        <w:tc>
          <w:tcPr>
            <w:tcW w:w="1577" w:type="dxa"/>
            <w:vMerge w:val="restart"/>
            <w:vAlign w:val="center"/>
          </w:tcPr>
          <w:p>
            <w:pPr>
              <w:pStyle w:val="121"/>
              <w:jc w:val="center"/>
              <w:rPr>
                <w:rFonts w:ascii="Times New Roman" w:hAnsi="Times New Roman" w:eastAsia="宋体" w:cs="Times New Roman"/>
                <w:kern w:val="2"/>
                <w:sz w:val="21"/>
                <w:szCs w:val="24"/>
                <w:lang w:eastAsia="zh-CN"/>
              </w:rPr>
            </w:pPr>
            <w:r>
              <w:rPr>
                <w:rFonts w:ascii="Times New Roman" w:hAnsi="Times New Roman" w:eastAsia="宋体" w:cs="Times New Roman"/>
                <w:kern w:val="2"/>
                <w:sz w:val="21"/>
                <w:szCs w:val="24"/>
                <w:lang w:eastAsia="zh-CN"/>
              </w:rPr>
              <w:t>二氧化硫</w:t>
            </w:r>
          </w:p>
        </w:tc>
        <w:tc>
          <w:tcPr>
            <w:tcW w:w="5768" w:type="dxa"/>
            <w:vAlign w:val="center"/>
          </w:tcPr>
          <w:p>
            <w:pPr>
              <w:pStyle w:val="121"/>
              <w:jc w:val="both"/>
              <w:rPr>
                <w:rFonts w:ascii="Times New Roman" w:hAnsi="Times New Roman" w:eastAsia="宋体" w:cs="Times New Roman"/>
                <w:kern w:val="2"/>
                <w:sz w:val="21"/>
                <w:szCs w:val="24"/>
                <w:lang w:eastAsia="zh-CN"/>
              </w:rPr>
            </w:pPr>
            <w:r>
              <w:rPr>
                <w:rFonts w:ascii="Times New Roman" w:hAnsi="Times New Roman" w:eastAsia="宋体" w:cs="Times New Roman"/>
                <w:kern w:val="2"/>
                <w:sz w:val="21"/>
                <w:szCs w:val="24"/>
                <w:lang w:eastAsia="zh-CN"/>
              </w:rPr>
              <w:t>固定污染源排气中二氧化硫的测定 碘量法</w:t>
            </w:r>
          </w:p>
        </w:tc>
        <w:tc>
          <w:tcPr>
            <w:tcW w:w="1308" w:type="dxa"/>
            <w:vAlign w:val="center"/>
          </w:tcPr>
          <w:p>
            <w:pPr>
              <w:pStyle w:val="121"/>
              <w:jc w:val="both"/>
              <w:rPr>
                <w:rFonts w:ascii="Times New Roman" w:hAnsi="Times New Roman" w:eastAsia="宋体" w:cs="Times New Roman"/>
                <w:kern w:val="2"/>
                <w:sz w:val="21"/>
                <w:szCs w:val="24"/>
                <w:lang w:eastAsia="zh-CN"/>
              </w:rPr>
            </w:pPr>
            <w:r>
              <w:rPr>
                <w:rFonts w:ascii="Times New Roman" w:hAnsi="Times New Roman" w:eastAsia="宋体" w:cs="Times New Roman"/>
                <w:kern w:val="2"/>
                <w:sz w:val="21"/>
                <w:szCs w:val="24"/>
                <w:lang w:eastAsia="zh-CN"/>
              </w:rPr>
              <w:t>HJ/T 56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692" w:type="dxa"/>
            <w:vMerge w:val="continue"/>
            <w:vAlign w:val="center"/>
          </w:tcPr>
          <w:p>
            <w:pPr>
              <w:jc w:val="center"/>
              <w:rPr>
                <w:rFonts w:ascii="Times New Roman" w:hAnsi="Times New Roman" w:eastAsia="宋体" w:cs="Times New Roman"/>
                <w:lang w:eastAsia="zh-CN"/>
              </w:rPr>
            </w:pPr>
          </w:p>
        </w:tc>
        <w:tc>
          <w:tcPr>
            <w:tcW w:w="1577" w:type="dxa"/>
            <w:vMerge w:val="continue"/>
            <w:vAlign w:val="center"/>
          </w:tcPr>
          <w:p>
            <w:pPr>
              <w:jc w:val="center"/>
              <w:rPr>
                <w:rFonts w:ascii="Times New Roman" w:hAnsi="Times New Roman" w:eastAsia="宋体" w:cs="Times New Roman"/>
                <w:lang w:eastAsia="zh-CN"/>
              </w:rPr>
            </w:pPr>
          </w:p>
        </w:tc>
        <w:tc>
          <w:tcPr>
            <w:tcW w:w="5768" w:type="dxa"/>
            <w:vAlign w:val="center"/>
          </w:tcPr>
          <w:p>
            <w:pPr>
              <w:pStyle w:val="121"/>
              <w:jc w:val="both"/>
              <w:rPr>
                <w:rFonts w:ascii="Times New Roman" w:hAnsi="Times New Roman" w:eastAsia="宋体" w:cs="Times New Roman"/>
                <w:kern w:val="2"/>
                <w:sz w:val="21"/>
                <w:szCs w:val="24"/>
                <w:lang w:eastAsia="zh-CN"/>
              </w:rPr>
            </w:pPr>
            <w:r>
              <w:rPr>
                <w:rFonts w:ascii="Times New Roman" w:hAnsi="Times New Roman" w:eastAsia="宋体" w:cs="Times New Roman"/>
                <w:kern w:val="2"/>
                <w:sz w:val="21"/>
                <w:szCs w:val="24"/>
                <w:lang w:eastAsia="zh-CN"/>
              </w:rPr>
              <w:t>固定污染源排气中二氧化硫的测定 定电位电解法</w:t>
            </w:r>
          </w:p>
        </w:tc>
        <w:tc>
          <w:tcPr>
            <w:tcW w:w="1308" w:type="dxa"/>
            <w:vAlign w:val="center"/>
          </w:tcPr>
          <w:p>
            <w:pPr>
              <w:pStyle w:val="121"/>
              <w:jc w:val="both"/>
              <w:rPr>
                <w:rFonts w:ascii="Times New Roman" w:hAnsi="Times New Roman" w:eastAsia="宋体" w:cs="Times New Roman"/>
                <w:kern w:val="2"/>
                <w:sz w:val="21"/>
                <w:szCs w:val="24"/>
                <w:lang w:eastAsia="zh-CN"/>
              </w:rPr>
            </w:pPr>
            <w:r>
              <w:rPr>
                <w:rFonts w:ascii="Times New Roman" w:hAnsi="Times New Roman" w:eastAsia="宋体" w:cs="Times New Roman"/>
                <w:kern w:val="2"/>
                <w:sz w:val="21"/>
                <w:szCs w:val="24"/>
                <w:lang w:eastAsia="zh-CN"/>
              </w:rPr>
              <w:t>HJ 57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692" w:type="dxa"/>
            <w:vMerge w:val="continue"/>
            <w:vAlign w:val="center"/>
          </w:tcPr>
          <w:p>
            <w:pPr>
              <w:jc w:val="center"/>
              <w:rPr>
                <w:rFonts w:asciiTheme="minorHAnsi" w:hAnsiTheme="minorHAnsi" w:eastAsiaTheme="minorEastAsia" w:cstheme="minorBidi"/>
                <w:lang w:eastAsia="en-US"/>
              </w:rPr>
            </w:pPr>
          </w:p>
        </w:tc>
        <w:tc>
          <w:tcPr>
            <w:tcW w:w="1577" w:type="dxa"/>
            <w:vMerge w:val="continue"/>
            <w:vAlign w:val="center"/>
          </w:tcPr>
          <w:p>
            <w:pPr>
              <w:jc w:val="center"/>
              <w:rPr>
                <w:rFonts w:asciiTheme="minorHAnsi" w:hAnsiTheme="minorHAnsi" w:eastAsiaTheme="minorEastAsia" w:cstheme="minorBidi"/>
                <w:lang w:eastAsia="en-US"/>
              </w:rPr>
            </w:pPr>
          </w:p>
        </w:tc>
        <w:tc>
          <w:tcPr>
            <w:tcW w:w="5768" w:type="dxa"/>
          </w:tcPr>
          <w:p>
            <w:pPr>
              <w:pStyle w:val="121"/>
              <w:jc w:val="both"/>
              <w:rPr>
                <w:rFonts w:ascii="Times New Roman" w:hAnsi="Times New Roman" w:eastAsia="宋体" w:cs="Times New Roman"/>
                <w:kern w:val="2"/>
                <w:sz w:val="21"/>
                <w:szCs w:val="24"/>
                <w:lang w:eastAsia="zh-CN"/>
              </w:rPr>
            </w:pPr>
            <w:r>
              <w:rPr>
                <w:rFonts w:hint="eastAsia" w:ascii="Times New Roman" w:hAnsi="Times New Roman" w:eastAsia="宋体" w:cs="Times New Roman"/>
                <w:kern w:val="2"/>
                <w:sz w:val="21"/>
                <w:szCs w:val="24"/>
                <w:lang w:eastAsia="zh-CN"/>
              </w:rPr>
              <w:t>固定污染源烟气（S</w:t>
            </w:r>
            <w:r>
              <w:rPr>
                <w:rFonts w:ascii="Times New Roman" w:hAnsi="Times New Roman" w:eastAsia="宋体" w:cs="Times New Roman"/>
                <w:kern w:val="2"/>
                <w:sz w:val="21"/>
                <w:szCs w:val="24"/>
                <w:lang w:eastAsia="zh-CN"/>
              </w:rPr>
              <w:t>O2</w:t>
            </w:r>
            <w:r>
              <w:rPr>
                <w:rFonts w:hint="eastAsia" w:ascii="Times New Roman" w:hAnsi="Times New Roman" w:eastAsia="宋体" w:cs="Times New Roman"/>
                <w:kern w:val="2"/>
                <w:sz w:val="21"/>
                <w:szCs w:val="24"/>
                <w:lang w:eastAsia="zh-CN"/>
              </w:rPr>
              <w:t>、N</w:t>
            </w:r>
            <w:r>
              <w:rPr>
                <w:rFonts w:ascii="Times New Roman" w:hAnsi="Times New Roman" w:eastAsia="宋体" w:cs="Times New Roman"/>
                <w:kern w:val="2"/>
                <w:sz w:val="21"/>
                <w:szCs w:val="24"/>
                <w:lang w:eastAsia="zh-CN"/>
              </w:rPr>
              <w:t>OX</w:t>
            </w:r>
            <w:r>
              <w:rPr>
                <w:rFonts w:hint="eastAsia" w:ascii="Times New Roman" w:hAnsi="Times New Roman" w:eastAsia="宋体" w:cs="Times New Roman"/>
                <w:kern w:val="2"/>
                <w:sz w:val="21"/>
                <w:szCs w:val="24"/>
                <w:lang w:eastAsia="zh-CN"/>
              </w:rPr>
              <w:t>、颗粒物）排放连续监测系统技术要求及检测方法</w:t>
            </w:r>
          </w:p>
        </w:tc>
        <w:tc>
          <w:tcPr>
            <w:tcW w:w="1308" w:type="dxa"/>
            <w:vAlign w:val="center"/>
          </w:tcPr>
          <w:p>
            <w:pPr>
              <w:pStyle w:val="121"/>
              <w:jc w:val="both"/>
              <w:rPr>
                <w:rFonts w:ascii="Times New Roman" w:hAnsi="Times New Roman" w:eastAsia="宋体" w:cs="Times New Roman"/>
                <w:kern w:val="2"/>
                <w:sz w:val="21"/>
                <w:szCs w:val="24"/>
                <w:lang w:eastAsia="zh-CN"/>
              </w:rPr>
            </w:pPr>
            <w:r>
              <w:rPr>
                <w:rFonts w:ascii="Times New Roman" w:hAnsi="Times New Roman" w:eastAsia="宋体" w:cs="Times New Roman"/>
                <w:kern w:val="2"/>
                <w:sz w:val="21"/>
                <w:szCs w:val="24"/>
                <w:lang w:eastAsia="zh-CN"/>
              </w:rPr>
              <w:t>HJ 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692" w:type="dxa"/>
            <w:vMerge w:val="continue"/>
            <w:vAlign w:val="center"/>
          </w:tcPr>
          <w:p>
            <w:pPr>
              <w:jc w:val="center"/>
              <w:rPr>
                <w:rFonts w:ascii="Times New Roman" w:hAnsi="Times New Roman" w:eastAsia="宋体" w:cs="Times New Roman"/>
                <w:lang w:eastAsia="zh-CN"/>
              </w:rPr>
            </w:pPr>
          </w:p>
        </w:tc>
        <w:tc>
          <w:tcPr>
            <w:tcW w:w="1577" w:type="dxa"/>
            <w:vMerge w:val="continue"/>
            <w:vAlign w:val="center"/>
          </w:tcPr>
          <w:p>
            <w:pPr>
              <w:jc w:val="center"/>
              <w:rPr>
                <w:rFonts w:ascii="Times New Roman" w:hAnsi="Times New Roman" w:eastAsia="宋体" w:cs="Times New Roman"/>
                <w:lang w:eastAsia="zh-CN"/>
              </w:rPr>
            </w:pPr>
          </w:p>
        </w:tc>
        <w:tc>
          <w:tcPr>
            <w:tcW w:w="5768" w:type="dxa"/>
            <w:vAlign w:val="center"/>
          </w:tcPr>
          <w:p>
            <w:pPr>
              <w:pStyle w:val="121"/>
              <w:jc w:val="both"/>
              <w:rPr>
                <w:rFonts w:ascii="Times New Roman" w:hAnsi="Times New Roman" w:eastAsia="宋体" w:cs="Times New Roman"/>
                <w:kern w:val="2"/>
                <w:sz w:val="21"/>
                <w:szCs w:val="24"/>
                <w:lang w:eastAsia="zh-CN"/>
              </w:rPr>
            </w:pPr>
            <w:r>
              <w:rPr>
                <w:rFonts w:ascii="Times New Roman" w:hAnsi="Times New Roman" w:eastAsia="宋体" w:cs="Times New Roman"/>
                <w:kern w:val="2"/>
                <w:sz w:val="21"/>
                <w:szCs w:val="24"/>
                <w:lang w:eastAsia="zh-CN"/>
              </w:rPr>
              <w:t>固定污染源废气 二氧化硫的测定 非分散红外吸收法</w:t>
            </w:r>
          </w:p>
        </w:tc>
        <w:tc>
          <w:tcPr>
            <w:tcW w:w="1308" w:type="dxa"/>
            <w:vAlign w:val="center"/>
          </w:tcPr>
          <w:p>
            <w:pPr>
              <w:pStyle w:val="121"/>
              <w:jc w:val="both"/>
              <w:rPr>
                <w:rFonts w:ascii="Times New Roman" w:hAnsi="Times New Roman" w:eastAsia="宋体" w:cs="Times New Roman"/>
                <w:kern w:val="2"/>
                <w:sz w:val="21"/>
                <w:szCs w:val="24"/>
                <w:lang w:eastAsia="zh-CN"/>
              </w:rPr>
            </w:pPr>
            <w:r>
              <w:rPr>
                <w:rFonts w:ascii="Times New Roman" w:hAnsi="Times New Roman" w:eastAsia="宋体" w:cs="Times New Roman"/>
                <w:kern w:val="2"/>
                <w:sz w:val="21"/>
                <w:szCs w:val="24"/>
                <w:lang w:eastAsia="zh-CN"/>
              </w:rPr>
              <w:t>HJ 629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692" w:type="dxa"/>
            <w:vMerge w:val="restart"/>
            <w:vAlign w:val="center"/>
          </w:tcPr>
          <w:p>
            <w:pPr>
              <w:pStyle w:val="121"/>
              <w:jc w:val="center"/>
              <w:rPr>
                <w:rFonts w:ascii="Times New Roman" w:hAnsi="Times New Roman" w:eastAsia="宋体" w:cs="Times New Roman"/>
                <w:sz w:val="21"/>
                <w:szCs w:val="21"/>
              </w:rPr>
            </w:pPr>
            <w:r>
              <w:rPr>
                <w:rFonts w:hint="eastAsia" w:ascii="Times New Roman" w:hAnsi="Times New Roman" w:eastAsia="宋体" w:cs="Times New Roman"/>
                <w:sz w:val="21"/>
                <w:szCs w:val="21"/>
                <w:lang w:eastAsia="zh-CN"/>
              </w:rPr>
              <w:t>3</w:t>
            </w:r>
          </w:p>
        </w:tc>
        <w:tc>
          <w:tcPr>
            <w:tcW w:w="1577" w:type="dxa"/>
            <w:vMerge w:val="restart"/>
            <w:vAlign w:val="center"/>
          </w:tcPr>
          <w:p>
            <w:pPr>
              <w:pStyle w:val="121"/>
              <w:jc w:val="center"/>
              <w:rPr>
                <w:rFonts w:ascii="Times New Roman" w:hAnsi="Times New Roman" w:eastAsia="宋体" w:cs="宋体"/>
                <w:sz w:val="21"/>
                <w:szCs w:val="21"/>
              </w:rPr>
            </w:pPr>
            <w:r>
              <w:rPr>
                <w:rFonts w:ascii="Times New Roman" w:hAnsi="Times New Roman" w:eastAsia="宋体" w:cs="宋体"/>
                <w:sz w:val="21"/>
                <w:szCs w:val="21"/>
              </w:rPr>
              <w:t>氮氧化物</w:t>
            </w:r>
          </w:p>
        </w:tc>
        <w:tc>
          <w:tcPr>
            <w:tcW w:w="5768" w:type="dxa"/>
            <w:vAlign w:val="center"/>
          </w:tcPr>
          <w:p>
            <w:pPr>
              <w:pStyle w:val="121"/>
              <w:jc w:val="both"/>
              <w:rPr>
                <w:rFonts w:ascii="Times New Roman" w:hAnsi="Times New Roman" w:eastAsia="宋体" w:cs="宋体"/>
                <w:sz w:val="21"/>
                <w:szCs w:val="21"/>
                <w:lang w:eastAsia="zh-CN"/>
              </w:rPr>
            </w:pPr>
            <w:r>
              <w:rPr>
                <w:rFonts w:ascii="Times New Roman" w:hAnsi="Times New Roman" w:eastAsia="宋体" w:cs="宋体"/>
                <w:sz w:val="21"/>
                <w:szCs w:val="21"/>
                <w:lang w:eastAsia="zh-CN"/>
              </w:rPr>
              <w:t>固定污染源排气中氮氧化物的测定 紫外分光光度法</w:t>
            </w:r>
          </w:p>
        </w:tc>
        <w:tc>
          <w:tcPr>
            <w:tcW w:w="1308" w:type="dxa"/>
            <w:vAlign w:val="center"/>
          </w:tcPr>
          <w:p>
            <w:pPr>
              <w:pStyle w:val="121"/>
              <w:jc w:val="both"/>
              <w:rPr>
                <w:rFonts w:ascii="Times New Roman" w:hAnsi="Times New Roman" w:eastAsia="宋体" w:cs="Times New Roman"/>
                <w:sz w:val="21"/>
                <w:szCs w:val="21"/>
              </w:rPr>
            </w:pPr>
            <w:r>
              <w:rPr>
                <w:rFonts w:ascii="Times New Roman" w:hAnsi="Times New Roman" w:eastAsia="宋体"/>
                <w:sz w:val="21"/>
                <w:szCs w:val="21"/>
              </w:rPr>
              <w:t>HJ/T</w:t>
            </w:r>
            <w:r>
              <w:rPr>
                <w:rFonts w:ascii="Times New Roman" w:hAnsi="Times New Roman" w:eastAsia="宋体"/>
                <w:spacing w:val="-2"/>
                <w:sz w:val="21"/>
                <w:szCs w:val="21"/>
              </w:rPr>
              <w:t xml:space="preserve"> </w:t>
            </w:r>
            <w:r>
              <w:rPr>
                <w:rFonts w:ascii="Times New Roman" w:hAnsi="Times New Roman" w:eastAsia="宋体"/>
                <w:sz w:val="21"/>
                <w:szCs w:val="21"/>
              </w:rPr>
              <w:t>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692" w:type="dxa"/>
            <w:vMerge w:val="continue"/>
            <w:vAlign w:val="center"/>
          </w:tcPr>
          <w:p>
            <w:pPr>
              <w:jc w:val="center"/>
              <w:rPr>
                <w:rFonts w:ascii="Times New Roman" w:hAnsi="Times New Roman" w:eastAsia="宋体" w:cstheme="minorBidi"/>
                <w:szCs w:val="21"/>
                <w:lang w:eastAsia="en-US"/>
              </w:rPr>
            </w:pPr>
          </w:p>
        </w:tc>
        <w:tc>
          <w:tcPr>
            <w:tcW w:w="1577" w:type="dxa"/>
            <w:vMerge w:val="continue"/>
            <w:vAlign w:val="center"/>
          </w:tcPr>
          <w:p>
            <w:pPr>
              <w:jc w:val="center"/>
              <w:rPr>
                <w:rFonts w:ascii="Times New Roman" w:hAnsi="Times New Roman" w:eastAsia="宋体" w:cstheme="minorBidi"/>
                <w:szCs w:val="21"/>
                <w:lang w:eastAsia="en-US"/>
              </w:rPr>
            </w:pPr>
          </w:p>
        </w:tc>
        <w:tc>
          <w:tcPr>
            <w:tcW w:w="5768" w:type="dxa"/>
            <w:vAlign w:val="center"/>
          </w:tcPr>
          <w:p>
            <w:pPr>
              <w:pStyle w:val="121"/>
              <w:jc w:val="both"/>
              <w:rPr>
                <w:rFonts w:ascii="Times New Roman" w:hAnsi="Times New Roman" w:eastAsia="宋体" w:cs="宋体"/>
                <w:sz w:val="21"/>
                <w:szCs w:val="21"/>
                <w:lang w:eastAsia="zh-CN"/>
              </w:rPr>
            </w:pPr>
            <w:r>
              <w:rPr>
                <w:rFonts w:ascii="Times New Roman" w:hAnsi="Times New Roman" w:eastAsia="宋体" w:cs="宋体"/>
                <w:sz w:val="21"/>
                <w:szCs w:val="21"/>
                <w:lang w:eastAsia="zh-CN"/>
              </w:rPr>
              <w:t>固定污染源排气中氮氧化物的测定 盐酸萘乙二胺分光光度法</w:t>
            </w:r>
          </w:p>
        </w:tc>
        <w:tc>
          <w:tcPr>
            <w:tcW w:w="1308" w:type="dxa"/>
            <w:vAlign w:val="center"/>
          </w:tcPr>
          <w:p>
            <w:pPr>
              <w:pStyle w:val="121"/>
              <w:jc w:val="both"/>
              <w:rPr>
                <w:rFonts w:ascii="Times New Roman" w:hAnsi="Times New Roman" w:eastAsia="宋体" w:cs="Times New Roman"/>
                <w:sz w:val="21"/>
                <w:szCs w:val="21"/>
              </w:rPr>
            </w:pPr>
            <w:r>
              <w:rPr>
                <w:rFonts w:ascii="Times New Roman" w:hAnsi="Times New Roman" w:eastAsia="宋体"/>
                <w:sz w:val="21"/>
                <w:szCs w:val="21"/>
              </w:rPr>
              <w:t>HJ/T</w:t>
            </w:r>
            <w:r>
              <w:rPr>
                <w:rFonts w:ascii="Times New Roman" w:hAnsi="Times New Roman" w:eastAsia="宋体"/>
                <w:spacing w:val="-2"/>
                <w:sz w:val="21"/>
                <w:szCs w:val="21"/>
              </w:rPr>
              <w:t xml:space="preserve"> </w:t>
            </w:r>
            <w:r>
              <w:rPr>
                <w:rFonts w:ascii="Times New Roman" w:hAnsi="Times New Roman" w:eastAsia="宋体"/>
                <w:sz w:val="21"/>
                <w:szCs w:val="21"/>
              </w:rPr>
              <w:t>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692" w:type="dxa"/>
            <w:vMerge w:val="continue"/>
            <w:vAlign w:val="center"/>
          </w:tcPr>
          <w:p>
            <w:pPr>
              <w:jc w:val="center"/>
              <w:rPr>
                <w:rFonts w:asciiTheme="minorHAnsi" w:hAnsiTheme="minorHAnsi" w:eastAsiaTheme="minorEastAsia" w:cstheme="minorBidi"/>
                <w:szCs w:val="21"/>
                <w:lang w:eastAsia="en-US"/>
              </w:rPr>
            </w:pPr>
          </w:p>
        </w:tc>
        <w:tc>
          <w:tcPr>
            <w:tcW w:w="1577" w:type="dxa"/>
            <w:vMerge w:val="continue"/>
            <w:vAlign w:val="center"/>
          </w:tcPr>
          <w:p>
            <w:pPr>
              <w:jc w:val="center"/>
              <w:rPr>
                <w:rFonts w:asciiTheme="minorHAnsi" w:hAnsiTheme="minorHAnsi" w:eastAsiaTheme="minorEastAsia" w:cstheme="minorBidi"/>
                <w:szCs w:val="21"/>
                <w:lang w:eastAsia="en-US"/>
              </w:rPr>
            </w:pPr>
          </w:p>
        </w:tc>
        <w:tc>
          <w:tcPr>
            <w:tcW w:w="5768" w:type="dxa"/>
            <w:vAlign w:val="center"/>
          </w:tcPr>
          <w:p>
            <w:pPr>
              <w:pStyle w:val="121"/>
              <w:jc w:val="both"/>
              <w:rPr>
                <w:rFonts w:ascii="Times New Roman" w:hAnsi="Times New Roman" w:eastAsia="宋体" w:cs="宋体"/>
                <w:sz w:val="21"/>
                <w:szCs w:val="21"/>
                <w:lang w:eastAsia="zh-CN"/>
              </w:rPr>
            </w:pPr>
            <w:r>
              <w:rPr>
                <w:rFonts w:ascii="Times New Roman" w:hAnsi="Times New Roman" w:eastAsia="宋体" w:cs="Times New Roman"/>
                <w:kern w:val="2"/>
                <w:sz w:val="21"/>
                <w:szCs w:val="24"/>
                <w:lang w:eastAsia="zh-CN"/>
              </w:rPr>
              <w:t>固定污染源</w:t>
            </w:r>
            <w:r>
              <w:rPr>
                <w:rFonts w:hint="eastAsia" w:ascii="Times New Roman" w:hAnsi="Times New Roman" w:eastAsia="宋体" w:cs="Times New Roman"/>
                <w:kern w:val="2"/>
                <w:sz w:val="21"/>
                <w:szCs w:val="24"/>
                <w:lang w:eastAsia="zh-CN"/>
              </w:rPr>
              <w:t>烟气排放连续监测系统技术要求及检测方法</w:t>
            </w:r>
          </w:p>
        </w:tc>
        <w:tc>
          <w:tcPr>
            <w:tcW w:w="1308" w:type="dxa"/>
            <w:vAlign w:val="center"/>
          </w:tcPr>
          <w:p>
            <w:pPr>
              <w:pStyle w:val="121"/>
              <w:jc w:val="both"/>
              <w:rPr>
                <w:rFonts w:ascii="Times New Roman" w:hAnsi="Times New Roman" w:eastAsia="宋体"/>
                <w:sz w:val="21"/>
                <w:szCs w:val="21"/>
                <w:lang w:eastAsia="zh-CN"/>
              </w:rPr>
            </w:pPr>
            <w:r>
              <w:rPr>
                <w:rFonts w:hint="eastAsia" w:ascii="Times New Roman" w:hAnsi="Times New Roman" w:eastAsia="宋体" w:cs="Times New Roman"/>
                <w:kern w:val="2"/>
                <w:sz w:val="21"/>
                <w:szCs w:val="24"/>
                <w:lang w:eastAsia="zh-CN"/>
              </w:rPr>
              <w:t>H</w:t>
            </w:r>
            <w:r>
              <w:rPr>
                <w:rFonts w:ascii="Times New Roman" w:hAnsi="Times New Roman" w:eastAsia="宋体" w:cs="Times New Roman"/>
                <w:kern w:val="2"/>
                <w:sz w:val="21"/>
                <w:szCs w:val="24"/>
                <w:lang w:eastAsia="zh-CN"/>
              </w:rPr>
              <w:t>J 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692" w:type="dxa"/>
            <w:vMerge w:val="continue"/>
            <w:vAlign w:val="center"/>
          </w:tcPr>
          <w:p>
            <w:pPr>
              <w:jc w:val="center"/>
              <w:rPr>
                <w:rFonts w:asciiTheme="minorHAnsi" w:hAnsiTheme="minorHAnsi" w:eastAsiaTheme="minorEastAsia" w:cstheme="minorBidi"/>
                <w:szCs w:val="21"/>
                <w:lang w:eastAsia="en-US"/>
              </w:rPr>
            </w:pPr>
          </w:p>
        </w:tc>
        <w:tc>
          <w:tcPr>
            <w:tcW w:w="1577" w:type="dxa"/>
            <w:vMerge w:val="continue"/>
            <w:vAlign w:val="center"/>
          </w:tcPr>
          <w:p>
            <w:pPr>
              <w:jc w:val="center"/>
              <w:rPr>
                <w:rFonts w:asciiTheme="minorHAnsi" w:hAnsiTheme="minorHAnsi" w:eastAsiaTheme="minorEastAsia" w:cstheme="minorBidi"/>
                <w:szCs w:val="21"/>
                <w:lang w:eastAsia="en-US"/>
              </w:rPr>
            </w:pPr>
          </w:p>
        </w:tc>
        <w:tc>
          <w:tcPr>
            <w:tcW w:w="5768" w:type="dxa"/>
            <w:vAlign w:val="center"/>
          </w:tcPr>
          <w:p>
            <w:pPr>
              <w:pStyle w:val="121"/>
              <w:jc w:val="both"/>
              <w:rPr>
                <w:rFonts w:ascii="Times New Roman" w:hAnsi="Times New Roman" w:eastAsia="宋体" w:cs="Times New Roman"/>
                <w:kern w:val="2"/>
                <w:sz w:val="21"/>
                <w:szCs w:val="24"/>
                <w:lang w:eastAsia="zh-CN"/>
              </w:rPr>
            </w:pPr>
            <w:r>
              <w:rPr>
                <w:rFonts w:hint="eastAsia" w:ascii="Times New Roman" w:hAnsi="Times New Roman" w:eastAsia="宋体" w:cs="宋体"/>
                <w:sz w:val="21"/>
                <w:szCs w:val="21"/>
                <w:lang w:eastAsia="zh-CN"/>
              </w:rPr>
              <w:t>固定污染源废气 氮氧化物的测定 非分散红外吸收法</w:t>
            </w:r>
          </w:p>
        </w:tc>
        <w:tc>
          <w:tcPr>
            <w:tcW w:w="1308" w:type="dxa"/>
            <w:vAlign w:val="center"/>
          </w:tcPr>
          <w:p>
            <w:pPr>
              <w:pStyle w:val="121"/>
              <w:jc w:val="both"/>
              <w:rPr>
                <w:rFonts w:ascii="Times New Roman" w:hAnsi="Times New Roman" w:eastAsia="宋体" w:cs="Times New Roman"/>
                <w:kern w:val="2"/>
                <w:sz w:val="21"/>
                <w:szCs w:val="24"/>
                <w:lang w:eastAsia="zh-CN"/>
              </w:rPr>
            </w:pPr>
            <w:r>
              <w:rPr>
                <w:rFonts w:hint="eastAsia" w:ascii="Times New Roman" w:hAnsi="Times New Roman" w:eastAsia="宋体" w:cs="宋体"/>
                <w:sz w:val="21"/>
                <w:szCs w:val="21"/>
                <w:lang w:eastAsia="zh-CN"/>
              </w:rPr>
              <w:t>HJ 692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c>
          <w:tcPr>
            <w:tcW w:w="692" w:type="dxa"/>
            <w:vMerge w:val="continue"/>
            <w:vAlign w:val="center"/>
          </w:tcPr>
          <w:p>
            <w:pPr>
              <w:jc w:val="center"/>
              <w:rPr>
                <w:rFonts w:asciiTheme="minorHAnsi" w:hAnsiTheme="minorHAnsi" w:eastAsiaTheme="minorEastAsia" w:cstheme="minorBidi"/>
                <w:szCs w:val="21"/>
                <w:lang w:eastAsia="en-US"/>
              </w:rPr>
            </w:pPr>
          </w:p>
        </w:tc>
        <w:tc>
          <w:tcPr>
            <w:tcW w:w="1577" w:type="dxa"/>
            <w:vMerge w:val="continue"/>
            <w:vAlign w:val="center"/>
          </w:tcPr>
          <w:p>
            <w:pPr>
              <w:jc w:val="center"/>
              <w:rPr>
                <w:rFonts w:asciiTheme="minorHAnsi" w:hAnsiTheme="minorHAnsi" w:eastAsiaTheme="minorEastAsia" w:cstheme="minorBidi"/>
                <w:szCs w:val="21"/>
                <w:lang w:eastAsia="en-US"/>
              </w:rPr>
            </w:pPr>
          </w:p>
        </w:tc>
        <w:tc>
          <w:tcPr>
            <w:tcW w:w="5768" w:type="dxa"/>
            <w:vAlign w:val="center"/>
          </w:tcPr>
          <w:p>
            <w:pPr>
              <w:pStyle w:val="121"/>
              <w:jc w:val="both"/>
              <w:rPr>
                <w:rFonts w:ascii="Times New Roman" w:hAnsi="Times New Roman" w:eastAsia="宋体" w:cs="宋体"/>
                <w:sz w:val="21"/>
                <w:szCs w:val="21"/>
                <w:lang w:eastAsia="zh-CN"/>
              </w:rPr>
            </w:pPr>
            <w:r>
              <w:rPr>
                <w:rFonts w:hint="eastAsia" w:ascii="Times New Roman" w:hAnsi="Times New Roman" w:eastAsia="宋体" w:cs="宋体"/>
                <w:sz w:val="21"/>
                <w:szCs w:val="21"/>
                <w:lang w:eastAsia="zh-CN"/>
              </w:rPr>
              <w:t>固定污染源废气 氮氧化物的测定 定电位电解法</w:t>
            </w:r>
          </w:p>
        </w:tc>
        <w:tc>
          <w:tcPr>
            <w:tcW w:w="1308" w:type="dxa"/>
            <w:vAlign w:val="center"/>
          </w:tcPr>
          <w:p>
            <w:pPr>
              <w:pStyle w:val="121"/>
              <w:jc w:val="both"/>
              <w:rPr>
                <w:rFonts w:ascii="Times New Roman" w:hAnsi="Times New Roman" w:eastAsia="宋体"/>
                <w:sz w:val="21"/>
                <w:szCs w:val="21"/>
                <w:lang w:eastAsia="zh-CN"/>
              </w:rPr>
            </w:pPr>
            <w:r>
              <w:rPr>
                <w:rFonts w:ascii="Times New Roman" w:hAnsi="Times New Roman" w:eastAsia="宋体"/>
                <w:sz w:val="21"/>
                <w:szCs w:val="21"/>
                <w:lang w:eastAsia="zh-CN"/>
              </w:rPr>
              <w:t>HJ 693</w:t>
            </w:r>
          </w:p>
        </w:tc>
      </w:tr>
    </w:tbl>
    <w:p>
      <w:pPr>
        <w:pStyle w:val="57"/>
        <w:spacing w:before="156" w:beforeLines="50" w:after="156" w:afterLines="50"/>
        <w:ind w:firstLine="0" w:firstLineChars="0"/>
        <w:rPr>
          <w:spacing w:val="-3"/>
        </w:rPr>
      </w:pPr>
      <w:r>
        <w:rPr>
          <w:rFonts w:ascii="黑体" w:hAnsi="黑体" w:eastAsia="黑体" w:cs="黑体"/>
          <w:szCs w:val="21"/>
        </w:rPr>
        <w:t>5.6</w:t>
      </w:r>
      <w:r>
        <w:rPr>
          <w:rFonts w:ascii="黑体" w:eastAsia="黑体"/>
        </w:rPr>
        <w:t xml:space="preserve">  </w:t>
      </w:r>
      <w:r>
        <w:rPr>
          <w:rFonts w:hint="eastAsia"/>
          <w:spacing w:val="-3"/>
        </w:rPr>
        <w:t>企业应按照有关法律和《环境监测管理办法》的规定，对排污状况进行监测，并保存原始监测记录。</w:t>
      </w:r>
    </w:p>
    <w:p>
      <w:pPr>
        <w:pStyle w:val="2"/>
        <w:spacing w:before="312" w:after="312"/>
      </w:pPr>
      <w:r>
        <w:rPr>
          <w:rFonts w:hint="eastAsia"/>
        </w:rPr>
        <w:t>6</w:t>
      </w:r>
      <w:r>
        <w:t xml:space="preserve"> </w:t>
      </w:r>
      <w:r>
        <w:rPr>
          <w:rFonts w:hint="eastAsia"/>
        </w:rPr>
        <w:t>实施与监督</w:t>
      </w:r>
      <w:bookmarkEnd w:id="8"/>
    </w:p>
    <w:p>
      <w:pPr>
        <w:pStyle w:val="57"/>
        <w:spacing w:before="156" w:beforeLines="50" w:after="156" w:afterLines="50"/>
        <w:ind w:firstLine="0" w:firstLineChars="0"/>
        <w:rPr>
          <w:rFonts w:ascii="Times New Roman"/>
        </w:rPr>
      </w:pPr>
      <w:r>
        <w:rPr>
          <w:rFonts w:hint="eastAsia" w:ascii="黑体" w:hAnsi="黑体" w:eastAsia="黑体" w:cs="黑体"/>
          <w:szCs w:val="21"/>
        </w:rPr>
        <w:t>6.1</w:t>
      </w:r>
      <w:r>
        <w:rPr>
          <w:rFonts w:hint="eastAsia" w:ascii="黑体" w:eastAsia="黑体"/>
        </w:rPr>
        <w:t xml:space="preserve"> </w:t>
      </w:r>
      <w:r>
        <w:rPr>
          <w:rFonts w:hint="eastAsia" w:ascii="Times New Roman"/>
        </w:rPr>
        <w:t>本标准由县级以上人民政府</w:t>
      </w:r>
      <w:r>
        <w:rPr>
          <w:rFonts w:hint="eastAsia" w:hAnsi="宋体"/>
        </w:rPr>
        <w:t>生态环境</w:t>
      </w:r>
      <w:r>
        <w:rPr>
          <w:rFonts w:hint="eastAsia" w:ascii="Times New Roman"/>
        </w:rPr>
        <w:t>行政主管部门负责监督实施。</w:t>
      </w:r>
    </w:p>
    <w:p>
      <w:pPr>
        <w:pStyle w:val="57"/>
        <w:spacing w:before="156" w:beforeLines="50" w:after="156" w:afterLines="50"/>
        <w:ind w:firstLine="0" w:firstLineChars="0"/>
      </w:pPr>
      <w:r>
        <w:rPr>
          <w:rFonts w:hint="eastAsia" w:ascii="黑体" w:hAnsi="黑体" w:eastAsia="黑体" w:cs="黑体"/>
          <w:szCs w:val="21"/>
        </w:rPr>
        <w:t>6.2</w:t>
      </w:r>
      <w:r>
        <w:rPr>
          <w:rFonts w:ascii="黑体" w:hAnsi="黑体" w:eastAsia="黑体" w:cs="黑体"/>
          <w:szCs w:val="21"/>
        </w:rPr>
        <w:t xml:space="preserve"> </w:t>
      </w:r>
      <w:r>
        <w:rPr>
          <w:rFonts w:hint="eastAsia" w:hAnsi="宋体"/>
        </w:rPr>
        <w:t>在任何情况下，企业均应遵守本标准规定的污染物排放控制要求，采取必要措施保证污染防治设施正常运行。各级生态环境</w:t>
      </w:r>
      <w:r>
        <w:rPr>
          <w:rFonts w:hint="eastAsia" w:hAnsi="宋体"/>
          <w:lang w:eastAsia="zh-CN"/>
        </w:rPr>
        <w:t>主管</w:t>
      </w:r>
      <w:r>
        <w:rPr>
          <w:rFonts w:hint="eastAsia" w:hAnsi="宋体"/>
        </w:rPr>
        <w:t>部门在对企业进行监督性检查时，可以现场即时采样或监测的结果，作为判定排污行为是否符合排放标准以及实施相关环境保护管理措施的依据。</w:t>
      </w:r>
    </w:p>
    <w:p>
      <w:pPr>
        <w:pStyle w:val="57"/>
        <w:spacing w:before="156" w:beforeLines="50" w:after="156" w:afterLines="50"/>
        <w:ind w:firstLine="0" w:firstLineChars="0"/>
      </w:pPr>
      <w:r>
        <mc:AlternateContent>
          <mc:Choice Requires="wps">
            <w:drawing>
              <wp:anchor distT="0" distB="0" distL="114300" distR="114300" simplePos="0" relativeHeight="251670528" behindDoc="0" locked="0" layoutInCell="1" allowOverlap="1">
                <wp:simplePos x="0" y="0"/>
                <wp:positionH relativeFrom="column">
                  <wp:posOffset>1762760</wp:posOffset>
                </wp:positionH>
                <wp:positionV relativeFrom="paragraph">
                  <wp:posOffset>491490</wp:posOffset>
                </wp:positionV>
                <wp:extent cx="2019935" cy="635"/>
                <wp:effectExtent l="0" t="0" r="0" b="0"/>
                <wp:wrapNone/>
                <wp:docPr id="1" name="Straight Connector 13"/>
                <wp:cNvGraphicFramePr/>
                <a:graphic xmlns:a="http://schemas.openxmlformats.org/drawingml/2006/main">
                  <a:graphicData uri="http://schemas.microsoft.com/office/word/2010/wordprocessingShape">
                    <wps:wsp>
                      <wps:cNvCnPr>
                        <a:cxnSpLocks noChangeShapeType="1"/>
                      </wps:cNvCnPr>
                      <wps:spPr bwMode="auto">
                        <a:xfrm>
                          <a:off x="0" y="0"/>
                          <a:ext cx="2019935" cy="635"/>
                        </a:xfrm>
                        <a:prstGeom prst="straightConnector1">
                          <a:avLst/>
                        </a:prstGeom>
                        <a:noFill/>
                        <a:ln w="12700">
                          <a:solidFill>
                            <a:srgbClr val="000000"/>
                          </a:solidFill>
                          <a:round/>
                        </a:ln>
                        <a:effectLst/>
                      </wps:spPr>
                      <wps:bodyPr/>
                    </wps:wsp>
                  </a:graphicData>
                </a:graphic>
              </wp:anchor>
            </w:drawing>
          </mc:Choice>
          <mc:Fallback>
            <w:pict>
              <v:shape id="Straight Connector 13" o:spid="_x0000_s1026" o:spt="32" type="#_x0000_t32" style="position:absolute;left:0pt;margin-left:138.8pt;margin-top:38.7pt;height:0.05pt;width:159.05pt;z-index:251670528;mso-width-relative:page;mso-height-relative:page;" filled="f" stroked="t" coordsize="21600,21600" o:gfxdata="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Fp6ZCNUAAAAJAQAADwAAAAAAAAABACAAAAAiAAAAZHJzL2Rvd25yZXYueG1s&#10;UEsBAhQAFAAAAAgAh07iQDnTcfzCAQAAfwMAAA4AAAAAAAAAAQAgAAAAJAEAAGRycy9lMm9Eb2Mu&#10;eG1sUEsFBgAAAAAGAAYAWQEAAFgFAAAAAA==&#10;">
                <v:fill on="f" focussize="0,0"/>
                <v:stroke weight="1pt" color="#000000" joinstyle="round"/>
                <v:imagedata o:title=""/>
                <o:lock v:ext="edit" aspectratio="f"/>
              </v:shape>
            </w:pict>
          </mc:Fallback>
        </mc:AlternateContent>
      </w:r>
    </w:p>
    <w:sectPr>
      <w:footerReference r:id="rId8" w:type="even"/>
      <w:pgSz w:w="11907" w:h="16839"/>
      <w:pgMar w:top="1418" w:right="1134" w:bottom="1134" w:left="1418" w:header="1418" w:footer="737" w:gutter="0"/>
      <w:pgNumType w:start="1"/>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仿宋_GB2312">
    <w:panose1 w:val="02010609030101010101"/>
    <w:charset w:val="86"/>
    <w:family w:val="auto"/>
    <w:pitch w:val="default"/>
    <w:sig w:usb0="00000001" w:usb1="080E0000" w:usb2="00000000" w:usb3="00000000" w:csb0="00040000" w:csb1="00000000"/>
  </w:font>
  <w:font w:name="文鼎小标宋简">
    <w:panose1 w:val="02010609010101010101"/>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framePr w:wrap="around" w:vAnchor="text" w:hAnchor="page" w:x="1523" w:y="-315"/>
      <w:rPr>
        <w:rStyle w:val="3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33171121"/>
    </w:sdtPr>
    <w:sdtContent>
      <w:p>
        <w:pPr>
          <w:pStyle w:val="26"/>
          <w:ind w:right="0" w:rightChars="0"/>
          <w:jc w:val="left"/>
        </w:pPr>
        <w:r>
          <w:fldChar w:fldCharType="begin"/>
        </w:r>
        <w:r>
          <w:instrText xml:space="preserve">PAGE   \* MERGEFORMAT</w:instrText>
        </w:r>
        <w:r>
          <w:fldChar w:fldCharType="separate"/>
        </w:r>
        <w:r>
          <w:rPr>
            <w:lang w:val="zh-CN"/>
          </w:rPr>
          <w:t>II</w:t>
        </w:r>
        <w: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42314922"/>
    </w:sdtPr>
    <w:sdtContent>
      <w:p>
        <w:pPr>
          <w:pStyle w:val="26"/>
        </w:pPr>
        <w:r>
          <w:fldChar w:fldCharType="begin"/>
        </w:r>
        <w:r>
          <w:instrText xml:space="preserve">PAGE   \* MERGEFORMAT</w:instrText>
        </w:r>
        <w:r>
          <w:fldChar w:fldCharType="separate"/>
        </w:r>
        <w:r>
          <w:rPr>
            <w:lang w:val="zh-CN"/>
          </w:rPr>
          <w:t>5</w:t>
        </w:r>
        <w:r>
          <w:fldChar w:fldCharType="end"/>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9"/>
      <w:rPr>
        <w:rStyle w:val="34"/>
      </w:rPr>
    </w:pPr>
    <w:r>
      <w:fldChar w:fldCharType="begin"/>
    </w:r>
    <w:r>
      <w:rPr>
        <w:rStyle w:val="34"/>
      </w:rPr>
      <w:instrText xml:space="preserve">PAGE  </w:instrText>
    </w:r>
    <w:r>
      <w:fldChar w:fldCharType="separate"/>
    </w:r>
    <w:r>
      <w:rPr>
        <w:rStyle w:val="34"/>
      </w:rPr>
      <w:t>8</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9"/>
      <w:jc w:val="right"/>
    </w:pPr>
    <w:r>
      <w:t>DB</w:t>
    </w:r>
    <w:r>
      <w:rPr>
        <w:rFonts w:hint="eastAsia"/>
      </w:rPr>
      <w:t xml:space="preserve"> </w:t>
    </w:r>
    <w:r>
      <w:t>44 /</w:t>
    </w:r>
    <w:r>
      <w:rPr>
        <w:rFonts w:hint="eastAsia"/>
      </w:rPr>
      <w:t>XXX</w:t>
    </w:r>
    <w:r>
      <w:t>-</w:t>
    </w:r>
    <w:r>
      <w:rPr>
        <w:rFonts w:hint="eastAsia"/>
      </w:rPr>
      <w:t>XXXX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9"/>
      <w:jc w:val="left"/>
    </w:pPr>
    <w:r>
      <w:t>DB</w:t>
    </w:r>
    <w:r>
      <w:rPr>
        <w:rFonts w:hint="eastAsia"/>
      </w:rPr>
      <w:t xml:space="preserve"> </w:t>
    </w:r>
    <w:r>
      <w:t>44 /</w:t>
    </w:r>
    <w:r>
      <w:rPr>
        <w:rFonts w:hint="eastAsia"/>
      </w:rPr>
      <w:t>XXX</w:t>
    </w:r>
    <w:r>
      <w:t>-</w:t>
    </w:r>
    <w:r>
      <w:rPr>
        <w:rFonts w:hint="eastAsia"/>
      </w:rPr>
      <w:t>XXXX</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attachedTemplate r:id="rId1"/>
  <w:documentProtection w:enforcement="0"/>
  <w:defaultTabStop w:val="420"/>
  <w:evenAndOddHeaders w:val="1"/>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73A"/>
    <w:rsid w:val="0000082E"/>
    <w:rsid w:val="000019A3"/>
    <w:rsid w:val="00007FE8"/>
    <w:rsid w:val="00010A78"/>
    <w:rsid w:val="00011B21"/>
    <w:rsid w:val="0001303F"/>
    <w:rsid w:val="00013458"/>
    <w:rsid w:val="00013FF5"/>
    <w:rsid w:val="00021F58"/>
    <w:rsid w:val="0003121E"/>
    <w:rsid w:val="0003231B"/>
    <w:rsid w:val="000464CE"/>
    <w:rsid w:val="00046F11"/>
    <w:rsid w:val="000537E3"/>
    <w:rsid w:val="00054656"/>
    <w:rsid w:val="00057306"/>
    <w:rsid w:val="00060026"/>
    <w:rsid w:val="00060B6A"/>
    <w:rsid w:val="00062A44"/>
    <w:rsid w:val="000636B0"/>
    <w:rsid w:val="00065FAC"/>
    <w:rsid w:val="000720CD"/>
    <w:rsid w:val="00073A74"/>
    <w:rsid w:val="00077DAB"/>
    <w:rsid w:val="0009120A"/>
    <w:rsid w:val="00095A72"/>
    <w:rsid w:val="000963AE"/>
    <w:rsid w:val="000A43BC"/>
    <w:rsid w:val="000A4575"/>
    <w:rsid w:val="000A7C76"/>
    <w:rsid w:val="000B026B"/>
    <w:rsid w:val="000B7746"/>
    <w:rsid w:val="000C026E"/>
    <w:rsid w:val="000C0B5E"/>
    <w:rsid w:val="000C1739"/>
    <w:rsid w:val="000D0C35"/>
    <w:rsid w:val="000D2450"/>
    <w:rsid w:val="000D2F30"/>
    <w:rsid w:val="000D6646"/>
    <w:rsid w:val="000E3563"/>
    <w:rsid w:val="000E664C"/>
    <w:rsid w:val="000F3B8A"/>
    <w:rsid w:val="000F4DA8"/>
    <w:rsid w:val="000F7FB1"/>
    <w:rsid w:val="00101265"/>
    <w:rsid w:val="0010478B"/>
    <w:rsid w:val="00104F12"/>
    <w:rsid w:val="001050CC"/>
    <w:rsid w:val="001070FC"/>
    <w:rsid w:val="001109F7"/>
    <w:rsid w:val="00110EFC"/>
    <w:rsid w:val="00111498"/>
    <w:rsid w:val="00114D19"/>
    <w:rsid w:val="00120C68"/>
    <w:rsid w:val="0012294C"/>
    <w:rsid w:val="00126471"/>
    <w:rsid w:val="00126578"/>
    <w:rsid w:val="00126E98"/>
    <w:rsid w:val="00130CAE"/>
    <w:rsid w:val="00132268"/>
    <w:rsid w:val="0013442F"/>
    <w:rsid w:val="00140132"/>
    <w:rsid w:val="001407F9"/>
    <w:rsid w:val="00140B5D"/>
    <w:rsid w:val="001412DA"/>
    <w:rsid w:val="00141D73"/>
    <w:rsid w:val="00142D54"/>
    <w:rsid w:val="0014667C"/>
    <w:rsid w:val="001521C3"/>
    <w:rsid w:val="001534BF"/>
    <w:rsid w:val="00156FD5"/>
    <w:rsid w:val="00160EEA"/>
    <w:rsid w:val="00166DAC"/>
    <w:rsid w:val="00172A27"/>
    <w:rsid w:val="00175591"/>
    <w:rsid w:val="00175D8D"/>
    <w:rsid w:val="00176165"/>
    <w:rsid w:val="00177231"/>
    <w:rsid w:val="00180959"/>
    <w:rsid w:val="00180C21"/>
    <w:rsid w:val="001868F6"/>
    <w:rsid w:val="00191CDE"/>
    <w:rsid w:val="00192029"/>
    <w:rsid w:val="00194A66"/>
    <w:rsid w:val="001A0962"/>
    <w:rsid w:val="001A0DA1"/>
    <w:rsid w:val="001A0F20"/>
    <w:rsid w:val="001A3301"/>
    <w:rsid w:val="001A53D3"/>
    <w:rsid w:val="001A6689"/>
    <w:rsid w:val="001A7C81"/>
    <w:rsid w:val="001B142E"/>
    <w:rsid w:val="001B2474"/>
    <w:rsid w:val="001C3F4D"/>
    <w:rsid w:val="001C5878"/>
    <w:rsid w:val="001C6FC3"/>
    <w:rsid w:val="001C73DE"/>
    <w:rsid w:val="001C7511"/>
    <w:rsid w:val="001D41D2"/>
    <w:rsid w:val="001D51FF"/>
    <w:rsid w:val="001D5D47"/>
    <w:rsid w:val="001D5FFD"/>
    <w:rsid w:val="001D7DC0"/>
    <w:rsid w:val="001E0806"/>
    <w:rsid w:val="001E11D3"/>
    <w:rsid w:val="002033BD"/>
    <w:rsid w:val="00204621"/>
    <w:rsid w:val="00205965"/>
    <w:rsid w:val="00206F6D"/>
    <w:rsid w:val="0020798F"/>
    <w:rsid w:val="00210B46"/>
    <w:rsid w:val="002155E8"/>
    <w:rsid w:val="00215F71"/>
    <w:rsid w:val="00220004"/>
    <w:rsid w:val="00227615"/>
    <w:rsid w:val="002279EC"/>
    <w:rsid w:val="00230101"/>
    <w:rsid w:val="002319BF"/>
    <w:rsid w:val="002338CC"/>
    <w:rsid w:val="00240C60"/>
    <w:rsid w:val="00240D71"/>
    <w:rsid w:val="00241746"/>
    <w:rsid w:val="0024467B"/>
    <w:rsid w:val="00255FB5"/>
    <w:rsid w:val="0026164D"/>
    <w:rsid w:val="00262368"/>
    <w:rsid w:val="00262A92"/>
    <w:rsid w:val="002651F5"/>
    <w:rsid w:val="00265BF2"/>
    <w:rsid w:val="00267B58"/>
    <w:rsid w:val="002712B2"/>
    <w:rsid w:val="0027280A"/>
    <w:rsid w:val="00273426"/>
    <w:rsid w:val="00273920"/>
    <w:rsid w:val="002759B7"/>
    <w:rsid w:val="00280EB5"/>
    <w:rsid w:val="0028639E"/>
    <w:rsid w:val="00287F86"/>
    <w:rsid w:val="00290F28"/>
    <w:rsid w:val="002A1FBE"/>
    <w:rsid w:val="002A7763"/>
    <w:rsid w:val="002A7DEB"/>
    <w:rsid w:val="002B4AB5"/>
    <w:rsid w:val="002B6741"/>
    <w:rsid w:val="002B702D"/>
    <w:rsid w:val="002C09ED"/>
    <w:rsid w:val="002C2CFA"/>
    <w:rsid w:val="002C79F2"/>
    <w:rsid w:val="002D244F"/>
    <w:rsid w:val="002D2A02"/>
    <w:rsid w:val="002D2B51"/>
    <w:rsid w:val="002D50B6"/>
    <w:rsid w:val="002D797D"/>
    <w:rsid w:val="002E3454"/>
    <w:rsid w:val="002F2EB2"/>
    <w:rsid w:val="002F3702"/>
    <w:rsid w:val="002F4156"/>
    <w:rsid w:val="002F60A4"/>
    <w:rsid w:val="003022B9"/>
    <w:rsid w:val="00303C18"/>
    <w:rsid w:val="0030415C"/>
    <w:rsid w:val="003122AB"/>
    <w:rsid w:val="0031462E"/>
    <w:rsid w:val="00317D54"/>
    <w:rsid w:val="00324897"/>
    <w:rsid w:val="00337648"/>
    <w:rsid w:val="00340922"/>
    <w:rsid w:val="003417E4"/>
    <w:rsid w:val="00341D5D"/>
    <w:rsid w:val="00342562"/>
    <w:rsid w:val="00343224"/>
    <w:rsid w:val="00343652"/>
    <w:rsid w:val="0034662B"/>
    <w:rsid w:val="00347249"/>
    <w:rsid w:val="00350EC3"/>
    <w:rsid w:val="00351679"/>
    <w:rsid w:val="00351EE4"/>
    <w:rsid w:val="00354644"/>
    <w:rsid w:val="003548AE"/>
    <w:rsid w:val="00361E90"/>
    <w:rsid w:val="00364DC8"/>
    <w:rsid w:val="003657DF"/>
    <w:rsid w:val="00366882"/>
    <w:rsid w:val="00371590"/>
    <w:rsid w:val="00372567"/>
    <w:rsid w:val="003774F4"/>
    <w:rsid w:val="00380D76"/>
    <w:rsid w:val="003822A4"/>
    <w:rsid w:val="0039423D"/>
    <w:rsid w:val="00394E5A"/>
    <w:rsid w:val="00397CBA"/>
    <w:rsid w:val="003A72C8"/>
    <w:rsid w:val="003A76BA"/>
    <w:rsid w:val="003B2453"/>
    <w:rsid w:val="003B297E"/>
    <w:rsid w:val="003D72D1"/>
    <w:rsid w:val="003F791E"/>
    <w:rsid w:val="004007D7"/>
    <w:rsid w:val="00401B7A"/>
    <w:rsid w:val="00402C83"/>
    <w:rsid w:val="004040C4"/>
    <w:rsid w:val="00407E56"/>
    <w:rsid w:val="00411E90"/>
    <w:rsid w:val="00413672"/>
    <w:rsid w:val="00414DB6"/>
    <w:rsid w:val="00417511"/>
    <w:rsid w:val="00417CD9"/>
    <w:rsid w:val="00431602"/>
    <w:rsid w:val="0044003A"/>
    <w:rsid w:val="00440AAB"/>
    <w:rsid w:val="00444512"/>
    <w:rsid w:val="00446AB1"/>
    <w:rsid w:val="00446B2C"/>
    <w:rsid w:val="00447620"/>
    <w:rsid w:val="004478BC"/>
    <w:rsid w:val="00450FFB"/>
    <w:rsid w:val="00453A2A"/>
    <w:rsid w:val="0045584F"/>
    <w:rsid w:val="00461268"/>
    <w:rsid w:val="00461B44"/>
    <w:rsid w:val="00463317"/>
    <w:rsid w:val="00466198"/>
    <w:rsid w:val="00466790"/>
    <w:rsid w:val="0047130C"/>
    <w:rsid w:val="0047183C"/>
    <w:rsid w:val="004733D3"/>
    <w:rsid w:val="00475908"/>
    <w:rsid w:val="00475DAE"/>
    <w:rsid w:val="00482A5A"/>
    <w:rsid w:val="00483AB1"/>
    <w:rsid w:val="004860AB"/>
    <w:rsid w:val="00490141"/>
    <w:rsid w:val="00494CF2"/>
    <w:rsid w:val="0049773D"/>
    <w:rsid w:val="004A3B29"/>
    <w:rsid w:val="004A622F"/>
    <w:rsid w:val="004A6237"/>
    <w:rsid w:val="004A6389"/>
    <w:rsid w:val="004A6EEA"/>
    <w:rsid w:val="004B1121"/>
    <w:rsid w:val="004B1275"/>
    <w:rsid w:val="004B19E4"/>
    <w:rsid w:val="004B4AF0"/>
    <w:rsid w:val="004B4EED"/>
    <w:rsid w:val="004C24B8"/>
    <w:rsid w:val="004C2A1C"/>
    <w:rsid w:val="004C31AD"/>
    <w:rsid w:val="004C4035"/>
    <w:rsid w:val="004C6882"/>
    <w:rsid w:val="004C7892"/>
    <w:rsid w:val="004D117C"/>
    <w:rsid w:val="004D7362"/>
    <w:rsid w:val="004D7BAB"/>
    <w:rsid w:val="004E3081"/>
    <w:rsid w:val="004E39C1"/>
    <w:rsid w:val="004E68A0"/>
    <w:rsid w:val="004F32D8"/>
    <w:rsid w:val="004F5AA6"/>
    <w:rsid w:val="004F69A8"/>
    <w:rsid w:val="004F7605"/>
    <w:rsid w:val="004F7784"/>
    <w:rsid w:val="00500896"/>
    <w:rsid w:val="00511158"/>
    <w:rsid w:val="0051127B"/>
    <w:rsid w:val="005119ED"/>
    <w:rsid w:val="00512FB4"/>
    <w:rsid w:val="0051481A"/>
    <w:rsid w:val="00516EA2"/>
    <w:rsid w:val="005171D3"/>
    <w:rsid w:val="00520D40"/>
    <w:rsid w:val="00522662"/>
    <w:rsid w:val="0052277C"/>
    <w:rsid w:val="0052341B"/>
    <w:rsid w:val="00523A50"/>
    <w:rsid w:val="0052502D"/>
    <w:rsid w:val="005268AB"/>
    <w:rsid w:val="00532020"/>
    <w:rsid w:val="00533D54"/>
    <w:rsid w:val="00536F2E"/>
    <w:rsid w:val="005435B5"/>
    <w:rsid w:val="0054459E"/>
    <w:rsid w:val="00544C17"/>
    <w:rsid w:val="00544EF9"/>
    <w:rsid w:val="00553BAD"/>
    <w:rsid w:val="00557445"/>
    <w:rsid w:val="00557C9F"/>
    <w:rsid w:val="00560874"/>
    <w:rsid w:val="00563C71"/>
    <w:rsid w:val="005677CD"/>
    <w:rsid w:val="00570592"/>
    <w:rsid w:val="00570CB9"/>
    <w:rsid w:val="00571A72"/>
    <w:rsid w:val="00574A32"/>
    <w:rsid w:val="005759D0"/>
    <w:rsid w:val="005769EF"/>
    <w:rsid w:val="0058239D"/>
    <w:rsid w:val="0058294E"/>
    <w:rsid w:val="00593F4F"/>
    <w:rsid w:val="00595018"/>
    <w:rsid w:val="005956C3"/>
    <w:rsid w:val="00597069"/>
    <w:rsid w:val="00597DF8"/>
    <w:rsid w:val="005A0934"/>
    <w:rsid w:val="005B4D6F"/>
    <w:rsid w:val="005B5593"/>
    <w:rsid w:val="005B5DB9"/>
    <w:rsid w:val="005B73C0"/>
    <w:rsid w:val="005B768B"/>
    <w:rsid w:val="005C20C5"/>
    <w:rsid w:val="005C6132"/>
    <w:rsid w:val="005E49B5"/>
    <w:rsid w:val="005E73EA"/>
    <w:rsid w:val="005E7FC4"/>
    <w:rsid w:val="005F0D48"/>
    <w:rsid w:val="005F25CA"/>
    <w:rsid w:val="005F3765"/>
    <w:rsid w:val="005F409A"/>
    <w:rsid w:val="005F42FD"/>
    <w:rsid w:val="006006E2"/>
    <w:rsid w:val="00602878"/>
    <w:rsid w:val="00603063"/>
    <w:rsid w:val="00605AB1"/>
    <w:rsid w:val="006125DB"/>
    <w:rsid w:val="00627563"/>
    <w:rsid w:val="00630599"/>
    <w:rsid w:val="00630A4D"/>
    <w:rsid w:val="00633770"/>
    <w:rsid w:val="0063739C"/>
    <w:rsid w:val="00640781"/>
    <w:rsid w:val="00642D39"/>
    <w:rsid w:val="0064389E"/>
    <w:rsid w:val="006456F9"/>
    <w:rsid w:val="00645921"/>
    <w:rsid w:val="0064760A"/>
    <w:rsid w:val="0065034C"/>
    <w:rsid w:val="00650A03"/>
    <w:rsid w:val="00654BF6"/>
    <w:rsid w:val="00661267"/>
    <w:rsid w:val="00662014"/>
    <w:rsid w:val="006630E4"/>
    <w:rsid w:val="00665E96"/>
    <w:rsid w:val="00666808"/>
    <w:rsid w:val="00667B2D"/>
    <w:rsid w:val="00671484"/>
    <w:rsid w:val="00672AF8"/>
    <w:rsid w:val="00673A76"/>
    <w:rsid w:val="0067411D"/>
    <w:rsid w:val="006744F3"/>
    <w:rsid w:val="006751CF"/>
    <w:rsid w:val="0067737E"/>
    <w:rsid w:val="006779A3"/>
    <w:rsid w:val="0068117A"/>
    <w:rsid w:val="0068227C"/>
    <w:rsid w:val="00683D5D"/>
    <w:rsid w:val="00683E3A"/>
    <w:rsid w:val="00686978"/>
    <w:rsid w:val="00690495"/>
    <w:rsid w:val="006907F5"/>
    <w:rsid w:val="00691467"/>
    <w:rsid w:val="006935E2"/>
    <w:rsid w:val="00694CC5"/>
    <w:rsid w:val="006954B8"/>
    <w:rsid w:val="006967B2"/>
    <w:rsid w:val="00696A21"/>
    <w:rsid w:val="006A278F"/>
    <w:rsid w:val="006A5887"/>
    <w:rsid w:val="006B0D99"/>
    <w:rsid w:val="006B2EC5"/>
    <w:rsid w:val="006B3FC4"/>
    <w:rsid w:val="006B63FA"/>
    <w:rsid w:val="006B64EB"/>
    <w:rsid w:val="006C05C8"/>
    <w:rsid w:val="006C1323"/>
    <w:rsid w:val="006C7E43"/>
    <w:rsid w:val="006D11F3"/>
    <w:rsid w:val="006D49FC"/>
    <w:rsid w:val="006D5AE6"/>
    <w:rsid w:val="006D6E52"/>
    <w:rsid w:val="006E1292"/>
    <w:rsid w:val="006E31BC"/>
    <w:rsid w:val="006E3964"/>
    <w:rsid w:val="006E3C5C"/>
    <w:rsid w:val="006E4D02"/>
    <w:rsid w:val="006E5E58"/>
    <w:rsid w:val="006E6618"/>
    <w:rsid w:val="006F4993"/>
    <w:rsid w:val="006F7FB4"/>
    <w:rsid w:val="007023A6"/>
    <w:rsid w:val="007043A4"/>
    <w:rsid w:val="007069FD"/>
    <w:rsid w:val="00706C9F"/>
    <w:rsid w:val="00710125"/>
    <w:rsid w:val="0071022B"/>
    <w:rsid w:val="00711451"/>
    <w:rsid w:val="007117E2"/>
    <w:rsid w:val="00712AA8"/>
    <w:rsid w:val="00713EFA"/>
    <w:rsid w:val="00714D5D"/>
    <w:rsid w:val="00716F60"/>
    <w:rsid w:val="00724AA3"/>
    <w:rsid w:val="00727233"/>
    <w:rsid w:val="007327CC"/>
    <w:rsid w:val="00734A03"/>
    <w:rsid w:val="00740017"/>
    <w:rsid w:val="00740FDF"/>
    <w:rsid w:val="007410BD"/>
    <w:rsid w:val="00741CC2"/>
    <w:rsid w:val="007421C1"/>
    <w:rsid w:val="00746300"/>
    <w:rsid w:val="007509A0"/>
    <w:rsid w:val="00755482"/>
    <w:rsid w:val="00760908"/>
    <w:rsid w:val="00761008"/>
    <w:rsid w:val="00761BA6"/>
    <w:rsid w:val="00762DC7"/>
    <w:rsid w:val="00765F49"/>
    <w:rsid w:val="00770573"/>
    <w:rsid w:val="0077087E"/>
    <w:rsid w:val="0078197C"/>
    <w:rsid w:val="00782812"/>
    <w:rsid w:val="00782C82"/>
    <w:rsid w:val="00783D70"/>
    <w:rsid w:val="00790784"/>
    <w:rsid w:val="007945C4"/>
    <w:rsid w:val="00794C57"/>
    <w:rsid w:val="007A01C7"/>
    <w:rsid w:val="007A0EF9"/>
    <w:rsid w:val="007A1B98"/>
    <w:rsid w:val="007A3FD3"/>
    <w:rsid w:val="007B2BCB"/>
    <w:rsid w:val="007B6FE5"/>
    <w:rsid w:val="007C0C34"/>
    <w:rsid w:val="007C1BB7"/>
    <w:rsid w:val="007C2DB4"/>
    <w:rsid w:val="007C5813"/>
    <w:rsid w:val="007C6AF9"/>
    <w:rsid w:val="007C6C8F"/>
    <w:rsid w:val="007D22CC"/>
    <w:rsid w:val="007D3234"/>
    <w:rsid w:val="007E1297"/>
    <w:rsid w:val="007E1810"/>
    <w:rsid w:val="007E3CE5"/>
    <w:rsid w:val="007E72EB"/>
    <w:rsid w:val="007F0370"/>
    <w:rsid w:val="007F2289"/>
    <w:rsid w:val="007F5FAD"/>
    <w:rsid w:val="008012E9"/>
    <w:rsid w:val="0080376B"/>
    <w:rsid w:val="00804B75"/>
    <w:rsid w:val="00805938"/>
    <w:rsid w:val="00806A45"/>
    <w:rsid w:val="0081121F"/>
    <w:rsid w:val="00815904"/>
    <w:rsid w:val="0082571C"/>
    <w:rsid w:val="00825BA8"/>
    <w:rsid w:val="00826429"/>
    <w:rsid w:val="008269A3"/>
    <w:rsid w:val="0083476D"/>
    <w:rsid w:val="00835643"/>
    <w:rsid w:val="00835CB0"/>
    <w:rsid w:val="00841F20"/>
    <w:rsid w:val="00841F5A"/>
    <w:rsid w:val="0084356D"/>
    <w:rsid w:val="00846DEA"/>
    <w:rsid w:val="0085253A"/>
    <w:rsid w:val="00853473"/>
    <w:rsid w:val="00854C89"/>
    <w:rsid w:val="00855104"/>
    <w:rsid w:val="00857BFB"/>
    <w:rsid w:val="00860648"/>
    <w:rsid w:val="008607D8"/>
    <w:rsid w:val="00863DCA"/>
    <w:rsid w:val="00885F5B"/>
    <w:rsid w:val="00887909"/>
    <w:rsid w:val="00887A5E"/>
    <w:rsid w:val="00894F49"/>
    <w:rsid w:val="00896610"/>
    <w:rsid w:val="008A00D4"/>
    <w:rsid w:val="008A1A3F"/>
    <w:rsid w:val="008A1B88"/>
    <w:rsid w:val="008A26DC"/>
    <w:rsid w:val="008A29B9"/>
    <w:rsid w:val="008A56A9"/>
    <w:rsid w:val="008A6DAA"/>
    <w:rsid w:val="008B20D4"/>
    <w:rsid w:val="008B27F8"/>
    <w:rsid w:val="008B4FA3"/>
    <w:rsid w:val="008B50CC"/>
    <w:rsid w:val="008C0338"/>
    <w:rsid w:val="008C1C64"/>
    <w:rsid w:val="008C28CD"/>
    <w:rsid w:val="008C2C55"/>
    <w:rsid w:val="008D562D"/>
    <w:rsid w:val="008D704C"/>
    <w:rsid w:val="008E0F57"/>
    <w:rsid w:val="008E40F3"/>
    <w:rsid w:val="008E770A"/>
    <w:rsid w:val="008F3F8A"/>
    <w:rsid w:val="008F4418"/>
    <w:rsid w:val="008F4DD4"/>
    <w:rsid w:val="008F625A"/>
    <w:rsid w:val="008F7C3F"/>
    <w:rsid w:val="00901024"/>
    <w:rsid w:val="009015DF"/>
    <w:rsid w:val="00901E88"/>
    <w:rsid w:val="00902147"/>
    <w:rsid w:val="009070BA"/>
    <w:rsid w:val="00913FFD"/>
    <w:rsid w:val="00915488"/>
    <w:rsid w:val="00920724"/>
    <w:rsid w:val="009219EE"/>
    <w:rsid w:val="00921E2F"/>
    <w:rsid w:val="00932254"/>
    <w:rsid w:val="00933EA9"/>
    <w:rsid w:val="009345A5"/>
    <w:rsid w:val="00934E87"/>
    <w:rsid w:val="00935234"/>
    <w:rsid w:val="00935817"/>
    <w:rsid w:val="00936A6A"/>
    <w:rsid w:val="00940992"/>
    <w:rsid w:val="00941E14"/>
    <w:rsid w:val="00943794"/>
    <w:rsid w:val="009457FF"/>
    <w:rsid w:val="00953AB9"/>
    <w:rsid w:val="009568D9"/>
    <w:rsid w:val="00965140"/>
    <w:rsid w:val="009656DE"/>
    <w:rsid w:val="00966DB0"/>
    <w:rsid w:val="00972431"/>
    <w:rsid w:val="00972BC2"/>
    <w:rsid w:val="00972FA4"/>
    <w:rsid w:val="00973F0F"/>
    <w:rsid w:val="00977D40"/>
    <w:rsid w:val="00980AA4"/>
    <w:rsid w:val="00992D7B"/>
    <w:rsid w:val="00993A7A"/>
    <w:rsid w:val="00994CB7"/>
    <w:rsid w:val="009975FF"/>
    <w:rsid w:val="009A21F1"/>
    <w:rsid w:val="009A242D"/>
    <w:rsid w:val="009A4C1F"/>
    <w:rsid w:val="009A4DBE"/>
    <w:rsid w:val="009A67CE"/>
    <w:rsid w:val="009A7DE1"/>
    <w:rsid w:val="009B2221"/>
    <w:rsid w:val="009B3D08"/>
    <w:rsid w:val="009B4C8F"/>
    <w:rsid w:val="009C0AEF"/>
    <w:rsid w:val="009C26C9"/>
    <w:rsid w:val="009C41A6"/>
    <w:rsid w:val="009C468B"/>
    <w:rsid w:val="009C6A1C"/>
    <w:rsid w:val="009C7A8B"/>
    <w:rsid w:val="009D5F10"/>
    <w:rsid w:val="009D7372"/>
    <w:rsid w:val="009E5386"/>
    <w:rsid w:val="009E6AC2"/>
    <w:rsid w:val="009E7235"/>
    <w:rsid w:val="009F07C9"/>
    <w:rsid w:val="009F13EE"/>
    <w:rsid w:val="009F5712"/>
    <w:rsid w:val="00A07126"/>
    <w:rsid w:val="00A12C4C"/>
    <w:rsid w:val="00A16460"/>
    <w:rsid w:val="00A16883"/>
    <w:rsid w:val="00A26C43"/>
    <w:rsid w:val="00A277FE"/>
    <w:rsid w:val="00A44B84"/>
    <w:rsid w:val="00A44C44"/>
    <w:rsid w:val="00A473D0"/>
    <w:rsid w:val="00A47F09"/>
    <w:rsid w:val="00A51078"/>
    <w:rsid w:val="00A54012"/>
    <w:rsid w:val="00A54513"/>
    <w:rsid w:val="00A560C0"/>
    <w:rsid w:val="00A56468"/>
    <w:rsid w:val="00A568BC"/>
    <w:rsid w:val="00A65117"/>
    <w:rsid w:val="00A65253"/>
    <w:rsid w:val="00A71C6D"/>
    <w:rsid w:val="00A7287D"/>
    <w:rsid w:val="00A734F4"/>
    <w:rsid w:val="00A76E75"/>
    <w:rsid w:val="00A77192"/>
    <w:rsid w:val="00A77916"/>
    <w:rsid w:val="00A77EE9"/>
    <w:rsid w:val="00A811E9"/>
    <w:rsid w:val="00A87856"/>
    <w:rsid w:val="00A879C8"/>
    <w:rsid w:val="00A87E1A"/>
    <w:rsid w:val="00A91024"/>
    <w:rsid w:val="00A9359D"/>
    <w:rsid w:val="00A9382C"/>
    <w:rsid w:val="00A94568"/>
    <w:rsid w:val="00A945A8"/>
    <w:rsid w:val="00A94B67"/>
    <w:rsid w:val="00A9643F"/>
    <w:rsid w:val="00AA0313"/>
    <w:rsid w:val="00AA0C6F"/>
    <w:rsid w:val="00AA1C64"/>
    <w:rsid w:val="00AA33A5"/>
    <w:rsid w:val="00AA4668"/>
    <w:rsid w:val="00AA5970"/>
    <w:rsid w:val="00AA71B4"/>
    <w:rsid w:val="00AB1746"/>
    <w:rsid w:val="00AB354E"/>
    <w:rsid w:val="00AB3886"/>
    <w:rsid w:val="00AB65A4"/>
    <w:rsid w:val="00AB7702"/>
    <w:rsid w:val="00AC0328"/>
    <w:rsid w:val="00AC338B"/>
    <w:rsid w:val="00AD0554"/>
    <w:rsid w:val="00AD499A"/>
    <w:rsid w:val="00AD5B53"/>
    <w:rsid w:val="00AE1034"/>
    <w:rsid w:val="00AE1BA6"/>
    <w:rsid w:val="00AE22D1"/>
    <w:rsid w:val="00AE352A"/>
    <w:rsid w:val="00AE50F5"/>
    <w:rsid w:val="00AF04CF"/>
    <w:rsid w:val="00AF0F18"/>
    <w:rsid w:val="00AF1031"/>
    <w:rsid w:val="00AF18BA"/>
    <w:rsid w:val="00AF6DA7"/>
    <w:rsid w:val="00B0168F"/>
    <w:rsid w:val="00B01F8F"/>
    <w:rsid w:val="00B024C9"/>
    <w:rsid w:val="00B06933"/>
    <w:rsid w:val="00B07C66"/>
    <w:rsid w:val="00B107AF"/>
    <w:rsid w:val="00B11119"/>
    <w:rsid w:val="00B116EB"/>
    <w:rsid w:val="00B13D85"/>
    <w:rsid w:val="00B14B6A"/>
    <w:rsid w:val="00B153FA"/>
    <w:rsid w:val="00B1686E"/>
    <w:rsid w:val="00B16C39"/>
    <w:rsid w:val="00B226ED"/>
    <w:rsid w:val="00B22F8C"/>
    <w:rsid w:val="00B23657"/>
    <w:rsid w:val="00B249D3"/>
    <w:rsid w:val="00B25AF6"/>
    <w:rsid w:val="00B269BF"/>
    <w:rsid w:val="00B323EA"/>
    <w:rsid w:val="00B33DAA"/>
    <w:rsid w:val="00B372BB"/>
    <w:rsid w:val="00B4024C"/>
    <w:rsid w:val="00B40D09"/>
    <w:rsid w:val="00B4602D"/>
    <w:rsid w:val="00B46034"/>
    <w:rsid w:val="00B47598"/>
    <w:rsid w:val="00B47D1A"/>
    <w:rsid w:val="00B531B9"/>
    <w:rsid w:val="00B53D56"/>
    <w:rsid w:val="00B54F8B"/>
    <w:rsid w:val="00B61222"/>
    <w:rsid w:val="00B672AB"/>
    <w:rsid w:val="00B80954"/>
    <w:rsid w:val="00B81D71"/>
    <w:rsid w:val="00B84200"/>
    <w:rsid w:val="00B84E35"/>
    <w:rsid w:val="00B86697"/>
    <w:rsid w:val="00B87B99"/>
    <w:rsid w:val="00B91BCB"/>
    <w:rsid w:val="00B91D50"/>
    <w:rsid w:val="00BA0394"/>
    <w:rsid w:val="00BA2917"/>
    <w:rsid w:val="00BA41E7"/>
    <w:rsid w:val="00BA505F"/>
    <w:rsid w:val="00BA5069"/>
    <w:rsid w:val="00BA5E41"/>
    <w:rsid w:val="00BA6753"/>
    <w:rsid w:val="00BB2BC6"/>
    <w:rsid w:val="00BB4172"/>
    <w:rsid w:val="00BD3CF1"/>
    <w:rsid w:val="00BD6076"/>
    <w:rsid w:val="00BE01D5"/>
    <w:rsid w:val="00BE0E11"/>
    <w:rsid w:val="00BE6644"/>
    <w:rsid w:val="00BF1659"/>
    <w:rsid w:val="00BF1F11"/>
    <w:rsid w:val="00BF31A2"/>
    <w:rsid w:val="00BF5698"/>
    <w:rsid w:val="00BF7BFD"/>
    <w:rsid w:val="00C053B3"/>
    <w:rsid w:val="00C06D95"/>
    <w:rsid w:val="00C06F5B"/>
    <w:rsid w:val="00C11A00"/>
    <w:rsid w:val="00C13CC6"/>
    <w:rsid w:val="00C15898"/>
    <w:rsid w:val="00C16FAA"/>
    <w:rsid w:val="00C17D27"/>
    <w:rsid w:val="00C20DF7"/>
    <w:rsid w:val="00C21AA9"/>
    <w:rsid w:val="00C21E34"/>
    <w:rsid w:val="00C22BC2"/>
    <w:rsid w:val="00C23A5B"/>
    <w:rsid w:val="00C313D1"/>
    <w:rsid w:val="00C34863"/>
    <w:rsid w:val="00C34B9B"/>
    <w:rsid w:val="00C34D2E"/>
    <w:rsid w:val="00C351B2"/>
    <w:rsid w:val="00C363FE"/>
    <w:rsid w:val="00C41B8C"/>
    <w:rsid w:val="00C442EC"/>
    <w:rsid w:val="00C55987"/>
    <w:rsid w:val="00C55B60"/>
    <w:rsid w:val="00C55B71"/>
    <w:rsid w:val="00C63019"/>
    <w:rsid w:val="00C637D0"/>
    <w:rsid w:val="00C66E36"/>
    <w:rsid w:val="00C83FF1"/>
    <w:rsid w:val="00C84E2B"/>
    <w:rsid w:val="00C8549B"/>
    <w:rsid w:val="00C87385"/>
    <w:rsid w:val="00C92112"/>
    <w:rsid w:val="00C936CD"/>
    <w:rsid w:val="00C95DEC"/>
    <w:rsid w:val="00C962B9"/>
    <w:rsid w:val="00C97AF4"/>
    <w:rsid w:val="00CA25E3"/>
    <w:rsid w:val="00CA26CC"/>
    <w:rsid w:val="00CA59FB"/>
    <w:rsid w:val="00CB03AE"/>
    <w:rsid w:val="00CB4FEF"/>
    <w:rsid w:val="00CB5DBF"/>
    <w:rsid w:val="00CB6548"/>
    <w:rsid w:val="00CC170F"/>
    <w:rsid w:val="00CC3A4F"/>
    <w:rsid w:val="00CD292A"/>
    <w:rsid w:val="00CD485E"/>
    <w:rsid w:val="00CE3C1A"/>
    <w:rsid w:val="00CF2562"/>
    <w:rsid w:val="00CF4074"/>
    <w:rsid w:val="00D025AD"/>
    <w:rsid w:val="00D1023B"/>
    <w:rsid w:val="00D123E1"/>
    <w:rsid w:val="00D12FEF"/>
    <w:rsid w:val="00D133AA"/>
    <w:rsid w:val="00D1420A"/>
    <w:rsid w:val="00D24CAF"/>
    <w:rsid w:val="00D25039"/>
    <w:rsid w:val="00D250BC"/>
    <w:rsid w:val="00D25FB1"/>
    <w:rsid w:val="00D27A3C"/>
    <w:rsid w:val="00D30383"/>
    <w:rsid w:val="00D308FE"/>
    <w:rsid w:val="00D30E46"/>
    <w:rsid w:val="00D329A7"/>
    <w:rsid w:val="00D34273"/>
    <w:rsid w:val="00D35002"/>
    <w:rsid w:val="00D4142E"/>
    <w:rsid w:val="00D41B88"/>
    <w:rsid w:val="00D42C19"/>
    <w:rsid w:val="00D42F98"/>
    <w:rsid w:val="00D4755C"/>
    <w:rsid w:val="00D5134E"/>
    <w:rsid w:val="00D5241D"/>
    <w:rsid w:val="00D55A90"/>
    <w:rsid w:val="00D5709D"/>
    <w:rsid w:val="00D61C93"/>
    <w:rsid w:val="00D629FA"/>
    <w:rsid w:val="00D63CCA"/>
    <w:rsid w:val="00D6551A"/>
    <w:rsid w:val="00D666B9"/>
    <w:rsid w:val="00D6729C"/>
    <w:rsid w:val="00D67D1D"/>
    <w:rsid w:val="00D67E68"/>
    <w:rsid w:val="00D70D4B"/>
    <w:rsid w:val="00D740C8"/>
    <w:rsid w:val="00D74C04"/>
    <w:rsid w:val="00D7567E"/>
    <w:rsid w:val="00D77285"/>
    <w:rsid w:val="00D77615"/>
    <w:rsid w:val="00D841A8"/>
    <w:rsid w:val="00D9027B"/>
    <w:rsid w:val="00D90BC3"/>
    <w:rsid w:val="00D9158B"/>
    <w:rsid w:val="00D95FB1"/>
    <w:rsid w:val="00DA095E"/>
    <w:rsid w:val="00DA5927"/>
    <w:rsid w:val="00DA6244"/>
    <w:rsid w:val="00DA6DFE"/>
    <w:rsid w:val="00DA7400"/>
    <w:rsid w:val="00DA782A"/>
    <w:rsid w:val="00DA7C64"/>
    <w:rsid w:val="00DB5850"/>
    <w:rsid w:val="00DB6FB5"/>
    <w:rsid w:val="00DB7AC7"/>
    <w:rsid w:val="00DC3AE1"/>
    <w:rsid w:val="00DC4EC4"/>
    <w:rsid w:val="00DD2923"/>
    <w:rsid w:val="00DD4613"/>
    <w:rsid w:val="00DD5AB6"/>
    <w:rsid w:val="00DE131D"/>
    <w:rsid w:val="00DE19AA"/>
    <w:rsid w:val="00DE5FDE"/>
    <w:rsid w:val="00DF0132"/>
    <w:rsid w:val="00DF0ADA"/>
    <w:rsid w:val="00E01F62"/>
    <w:rsid w:val="00E02AF5"/>
    <w:rsid w:val="00E04548"/>
    <w:rsid w:val="00E05869"/>
    <w:rsid w:val="00E068C4"/>
    <w:rsid w:val="00E1093B"/>
    <w:rsid w:val="00E12ACB"/>
    <w:rsid w:val="00E14C75"/>
    <w:rsid w:val="00E1642E"/>
    <w:rsid w:val="00E24491"/>
    <w:rsid w:val="00E33F4F"/>
    <w:rsid w:val="00E34D82"/>
    <w:rsid w:val="00E51D5E"/>
    <w:rsid w:val="00E52080"/>
    <w:rsid w:val="00E52910"/>
    <w:rsid w:val="00E532FA"/>
    <w:rsid w:val="00E6118A"/>
    <w:rsid w:val="00E64044"/>
    <w:rsid w:val="00E6485C"/>
    <w:rsid w:val="00E66EF7"/>
    <w:rsid w:val="00E70860"/>
    <w:rsid w:val="00E7186B"/>
    <w:rsid w:val="00E71AEC"/>
    <w:rsid w:val="00E80AD6"/>
    <w:rsid w:val="00E84126"/>
    <w:rsid w:val="00E86DE3"/>
    <w:rsid w:val="00E9489B"/>
    <w:rsid w:val="00EB06CA"/>
    <w:rsid w:val="00EB0FD6"/>
    <w:rsid w:val="00EB1040"/>
    <w:rsid w:val="00EB3317"/>
    <w:rsid w:val="00EB63DC"/>
    <w:rsid w:val="00EB6C81"/>
    <w:rsid w:val="00EB7A37"/>
    <w:rsid w:val="00EC21E2"/>
    <w:rsid w:val="00EC22DF"/>
    <w:rsid w:val="00EC6718"/>
    <w:rsid w:val="00ED1A3F"/>
    <w:rsid w:val="00EE118B"/>
    <w:rsid w:val="00EE1440"/>
    <w:rsid w:val="00EE1E32"/>
    <w:rsid w:val="00EE22F8"/>
    <w:rsid w:val="00EE2A70"/>
    <w:rsid w:val="00EE2D68"/>
    <w:rsid w:val="00EE3B37"/>
    <w:rsid w:val="00EE4D96"/>
    <w:rsid w:val="00EE520D"/>
    <w:rsid w:val="00EE5870"/>
    <w:rsid w:val="00EE6A6B"/>
    <w:rsid w:val="00EE6B53"/>
    <w:rsid w:val="00EF2265"/>
    <w:rsid w:val="00EF32E7"/>
    <w:rsid w:val="00EF3AA9"/>
    <w:rsid w:val="00EF6E71"/>
    <w:rsid w:val="00EF797A"/>
    <w:rsid w:val="00EF79F1"/>
    <w:rsid w:val="00F00084"/>
    <w:rsid w:val="00F04AAD"/>
    <w:rsid w:val="00F11138"/>
    <w:rsid w:val="00F15FE8"/>
    <w:rsid w:val="00F32D7B"/>
    <w:rsid w:val="00F33FE3"/>
    <w:rsid w:val="00F34AC5"/>
    <w:rsid w:val="00F43EDA"/>
    <w:rsid w:val="00F461B9"/>
    <w:rsid w:val="00F520F9"/>
    <w:rsid w:val="00F524DF"/>
    <w:rsid w:val="00F5384C"/>
    <w:rsid w:val="00F53A3F"/>
    <w:rsid w:val="00F5450B"/>
    <w:rsid w:val="00F62937"/>
    <w:rsid w:val="00F62FED"/>
    <w:rsid w:val="00F65C79"/>
    <w:rsid w:val="00F65D11"/>
    <w:rsid w:val="00F66801"/>
    <w:rsid w:val="00F66C3A"/>
    <w:rsid w:val="00F6733B"/>
    <w:rsid w:val="00F70B9F"/>
    <w:rsid w:val="00F7165A"/>
    <w:rsid w:val="00F7632E"/>
    <w:rsid w:val="00F76E62"/>
    <w:rsid w:val="00F811C0"/>
    <w:rsid w:val="00F827E3"/>
    <w:rsid w:val="00F82954"/>
    <w:rsid w:val="00F847F6"/>
    <w:rsid w:val="00F908D0"/>
    <w:rsid w:val="00FA25D7"/>
    <w:rsid w:val="00FA2875"/>
    <w:rsid w:val="00FA2886"/>
    <w:rsid w:val="00FA371D"/>
    <w:rsid w:val="00FA3A8F"/>
    <w:rsid w:val="00FA7157"/>
    <w:rsid w:val="00FC1A11"/>
    <w:rsid w:val="00FC1C44"/>
    <w:rsid w:val="00FC2845"/>
    <w:rsid w:val="00FC450D"/>
    <w:rsid w:val="00FC5BBA"/>
    <w:rsid w:val="00FC7F7C"/>
    <w:rsid w:val="00FD0A04"/>
    <w:rsid w:val="00FE077D"/>
    <w:rsid w:val="00FE0841"/>
    <w:rsid w:val="00FE0CA6"/>
    <w:rsid w:val="00FE38C4"/>
    <w:rsid w:val="00FE64D4"/>
    <w:rsid w:val="00FF61C4"/>
    <w:rsid w:val="030D350D"/>
    <w:rsid w:val="12C754DE"/>
    <w:rsid w:val="175E3962"/>
    <w:rsid w:val="2E0C5380"/>
    <w:rsid w:val="2E215DBB"/>
    <w:rsid w:val="2F7E3AF9"/>
    <w:rsid w:val="34A053E5"/>
    <w:rsid w:val="35AD429D"/>
    <w:rsid w:val="35DE63D5"/>
    <w:rsid w:val="3B5570E7"/>
    <w:rsid w:val="4C074AC8"/>
    <w:rsid w:val="4E9B0304"/>
    <w:rsid w:val="525F1045"/>
    <w:rsid w:val="5AC52078"/>
    <w:rsid w:val="5BA133D2"/>
    <w:rsid w:val="5C0D3694"/>
    <w:rsid w:val="6D4E2EE1"/>
    <w:rsid w:val="71A67303"/>
    <w:rsid w:val="778A542A"/>
    <w:rsid w:val="79C73ADB"/>
  </w:rsids>
  <m:mathPr>
    <m:lMargin m:val="0"/>
    <m:mathFont m:val="Cambria Math"/>
    <m:rMargin m:val="0"/>
    <m:wrapIndent m:val="1440"/>
    <m:brkBin m:val="before"/>
    <m:brkBinSub m:val="--"/>
    <m:defJc m:val="centerGroup"/>
    <m:intLim m:val="subSup"/>
    <m:naryLim m:val="undOvr"/>
    <m:smallFrac m:val=""/>
    <m:dispDef/>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t" stroke="t">
      <v:fill type="gradient" on="t" angle="90" focussize="0f,0f" focusposition="0f,0f">
        <o:fill type="gradientUnscaled" v:ext="backwardCompatible"/>
      </v:fill>
      <v:stroke weight="1.25pt" color="#739CC3"/>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nhideWhenUsed="0" w:uiPriority="39" w:semiHidden="0" w:name="toc 1"/>
    <w:lsdException w:unhideWhenUsed="0" w:uiPriority="0" w:semiHidden="0" w:name="toc 2"/>
    <w:lsdException w:qFormat="1" w:unhideWhenUsed="0" w:uiPriority="0" w:semiHidden="0" w:name="toc 3"/>
    <w:lsdException w:qFormat="1" w:unhideWhenUsed="0" w:uiPriority="39"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uiPriority="0" w:name="Normal Indent"/>
    <w:lsdException w:qFormat="1" w:unhideWhenUsed="0" w:uiPriority="0" w:semiHidden="0" w:name="footnote text"/>
    <w:lsdException w:uiPriority="0" w:semiHidden="0" w:name="annotation text"/>
    <w:lsdException w:qFormat="1" w:unhideWhenUsed="0" w:uiPriority="0" w:semiHidden="0" w:name="header"/>
    <w:lsdException w:qFormat="1" w:unhideWhenUsed="0" w:uiPriority="99"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qFormat="1" w:unhideWhenUsed="0" w:uiPriority="0" w:semiHidden="0" w:name="footnote reference"/>
    <w:lsdException w:qFormat="1"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semiHidden="0" w:name="Default Paragraph Font"/>
    <w:lsdException w:qFormat="1" w:unhideWhenUsed="0" w:uiPriority="0" w:semiHidden="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qFormat="1" w:unhideWhenUsed="0" w:uiPriority="0" w:semiHidden="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20" w:semiHidden="0" w:name="Emphasis"/>
    <w:lsdException w:unhideWhenUsed="0" w:uiPriority="0" w:semiHidden="0" w:name="Document Map"/>
    <w:lsdException w:uiPriority="0" w:name="Plain Text"/>
    <w:lsdException w:uiPriority="0" w:name="E-mail Signature"/>
    <w:lsdException w:uiPriority="99" w:semiHidden="0" w:name="Normal (Web)"/>
    <w:lsdException w:qFormat="1" w:unhideWhenUsed="0" w:uiPriority="0" w:semiHidden="0" w:name="HTML Acronym"/>
    <w:lsdException w:qFormat="1"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iPriority="99" w:semiHidden="0" w:name="Normal Table"/>
    <w:lsdException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100" w:beforeLines="100" w:after="100" w:afterLines="100"/>
      <w:outlineLvl w:val="0"/>
    </w:pPr>
    <w:rPr>
      <w:rFonts w:ascii="黑体" w:hAnsi="黑体" w:eastAsia="黑体"/>
      <w:b/>
      <w:bCs/>
      <w:kern w:val="44"/>
      <w:szCs w:val="44"/>
    </w:rPr>
  </w:style>
  <w:style w:type="paragraph" w:styleId="3">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qFormat/>
    <w:uiPriority w:val="0"/>
    <w:pPr>
      <w:keepNext/>
      <w:keepLines/>
      <w:spacing w:before="260" w:after="260" w:line="416" w:lineRule="auto"/>
      <w:outlineLvl w:val="2"/>
    </w:pPr>
    <w:rPr>
      <w:b/>
      <w:bCs/>
      <w:sz w:val="32"/>
      <w:szCs w:val="32"/>
    </w:rPr>
  </w:style>
  <w:style w:type="paragraph" w:styleId="5">
    <w:name w:val="heading 4"/>
    <w:basedOn w:val="1"/>
    <w:next w:val="1"/>
    <w:qFormat/>
    <w:uiPriority w:val="0"/>
    <w:pPr>
      <w:keepNext/>
      <w:keepLines/>
      <w:spacing w:before="280" w:after="290" w:line="376" w:lineRule="auto"/>
      <w:outlineLvl w:val="3"/>
    </w:pPr>
    <w:rPr>
      <w:rFonts w:ascii="Arial" w:hAnsi="Arial" w:eastAsia="黑体"/>
      <w:b/>
      <w:bCs/>
      <w:sz w:val="28"/>
      <w:szCs w:val="28"/>
    </w:rPr>
  </w:style>
  <w:style w:type="paragraph" w:styleId="6">
    <w:name w:val="heading 5"/>
    <w:basedOn w:val="1"/>
    <w:next w:val="1"/>
    <w:qFormat/>
    <w:uiPriority w:val="0"/>
    <w:pPr>
      <w:keepNext/>
      <w:keepLines/>
      <w:spacing w:before="280" w:after="290" w:line="376" w:lineRule="auto"/>
      <w:outlineLvl w:val="4"/>
    </w:pPr>
    <w:rPr>
      <w:b/>
      <w:bCs/>
      <w:sz w:val="28"/>
      <w:szCs w:val="28"/>
    </w:rPr>
  </w:style>
  <w:style w:type="paragraph" w:styleId="7">
    <w:name w:val="heading 6"/>
    <w:basedOn w:val="1"/>
    <w:next w:val="1"/>
    <w:qFormat/>
    <w:uiPriority w:val="0"/>
    <w:pPr>
      <w:keepNext/>
      <w:keepLines/>
      <w:spacing w:before="240" w:after="64" w:line="320" w:lineRule="auto"/>
      <w:outlineLvl w:val="5"/>
    </w:pPr>
    <w:rPr>
      <w:rFonts w:ascii="Arial" w:hAnsi="Arial" w:eastAsia="黑体"/>
      <w:b/>
      <w:bCs/>
      <w:sz w:val="24"/>
    </w:rPr>
  </w:style>
  <w:style w:type="paragraph" w:styleId="8">
    <w:name w:val="heading 7"/>
    <w:basedOn w:val="1"/>
    <w:next w:val="1"/>
    <w:qFormat/>
    <w:uiPriority w:val="0"/>
    <w:pPr>
      <w:keepNext/>
      <w:keepLines/>
      <w:spacing w:before="240" w:after="64" w:line="320" w:lineRule="auto"/>
      <w:outlineLvl w:val="6"/>
    </w:pPr>
    <w:rPr>
      <w:b/>
      <w:bCs/>
      <w:sz w:val="24"/>
    </w:rPr>
  </w:style>
  <w:style w:type="paragraph" w:styleId="9">
    <w:name w:val="heading 8"/>
    <w:basedOn w:val="1"/>
    <w:next w:val="1"/>
    <w:qFormat/>
    <w:uiPriority w:val="0"/>
    <w:pPr>
      <w:keepNext/>
      <w:keepLines/>
      <w:spacing w:before="240" w:after="64" w:line="320" w:lineRule="auto"/>
      <w:outlineLvl w:val="7"/>
    </w:pPr>
    <w:rPr>
      <w:rFonts w:ascii="Arial" w:hAnsi="Arial" w:eastAsia="黑体"/>
      <w:sz w:val="24"/>
    </w:rPr>
  </w:style>
  <w:style w:type="paragraph" w:styleId="10">
    <w:name w:val="heading 9"/>
    <w:basedOn w:val="1"/>
    <w:next w:val="1"/>
    <w:qFormat/>
    <w:uiPriority w:val="0"/>
    <w:pPr>
      <w:keepNext/>
      <w:keepLines/>
      <w:spacing w:before="240" w:after="64" w:line="320" w:lineRule="auto"/>
      <w:outlineLvl w:val="8"/>
    </w:pPr>
    <w:rPr>
      <w:rFonts w:ascii="Arial" w:hAnsi="Arial" w:eastAsia="黑体"/>
      <w:szCs w:val="21"/>
    </w:rPr>
  </w:style>
  <w:style w:type="character" w:default="1" w:styleId="33">
    <w:name w:val="Default Paragraph Font"/>
    <w:unhideWhenUsed/>
    <w:uiPriority w:val="1"/>
  </w:style>
  <w:style w:type="table" w:default="1" w:styleId="48">
    <w:name w:val="Normal Table"/>
    <w:unhideWhenUsed/>
    <w:qFormat/>
    <w:uiPriority w:val="99"/>
    <w:tblPr>
      <w:tblLayout w:type="fixed"/>
      <w:tblCellMar>
        <w:top w:w="0" w:type="dxa"/>
        <w:left w:w="108" w:type="dxa"/>
        <w:bottom w:w="0" w:type="dxa"/>
        <w:right w:w="108" w:type="dxa"/>
      </w:tblCellMar>
    </w:tblPr>
  </w:style>
  <w:style w:type="paragraph" w:styleId="11">
    <w:name w:val="annotation subject"/>
    <w:basedOn w:val="12"/>
    <w:next w:val="12"/>
    <w:link w:val="119"/>
    <w:unhideWhenUsed/>
    <w:uiPriority w:val="0"/>
    <w:rPr>
      <w:b/>
      <w:bCs/>
    </w:rPr>
  </w:style>
  <w:style w:type="paragraph" w:styleId="12">
    <w:name w:val="annotation text"/>
    <w:basedOn w:val="1"/>
    <w:link w:val="118"/>
    <w:unhideWhenUsed/>
    <w:uiPriority w:val="0"/>
    <w:pPr>
      <w:jc w:val="left"/>
    </w:pPr>
  </w:style>
  <w:style w:type="paragraph" w:styleId="13">
    <w:name w:val="toc 7"/>
    <w:basedOn w:val="14"/>
    <w:next w:val="1"/>
    <w:qFormat/>
    <w:uiPriority w:val="0"/>
  </w:style>
  <w:style w:type="paragraph" w:styleId="14">
    <w:name w:val="toc 6"/>
    <w:basedOn w:val="15"/>
    <w:next w:val="1"/>
    <w:qFormat/>
    <w:uiPriority w:val="0"/>
  </w:style>
  <w:style w:type="paragraph" w:styleId="15">
    <w:name w:val="toc 5"/>
    <w:basedOn w:val="16"/>
    <w:next w:val="1"/>
    <w:qFormat/>
    <w:uiPriority w:val="0"/>
  </w:style>
  <w:style w:type="paragraph" w:styleId="16">
    <w:name w:val="toc 4"/>
    <w:basedOn w:val="17"/>
    <w:next w:val="1"/>
    <w:qFormat/>
    <w:uiPriority w:val="39"/>
  </w:style>
  <w:style w:type="paragraph" w:styleId="17">
    <w:name w:val="toc 3"/>
    <w:basedOn w:val="18"/>
    <w:next w:val="1"/>
    <w:qFormat/>
    <w:uiPriority w:val="0"/>
  </w:style>
  <w:style w:type="paragraph" w:styleId="18">
    <w:name w:val="toc 2"/>
    <w:basedOn w:val="19"/>
    <w:next w:val="1"/>
    <w:uiPriority w:val="0"/>
  </w:style>
  <w:style w:type="paragraph" w:styleId="19">
    <w:name w:val="toc 1"/>
    <w:next w:val="1"/>
    <w:uiPriority w:val="39"/>
    <w:pPr>
      <w:jc w:val="both"/>
    </w:pPr>
    <w:rPr>
      <w:rFonts w:ascii="宋体" w:hAnsi="Times New Roman" w:eastAsia="宋体" w:cs="Times New Roman"/>
      <w:sz w:val="21"/>
      <w:lang w:val="en-US" w:eastAsia="zh-CN" w:bidi="ar-SA"/>
    </w:rPr>
  </w:style>
  <w:style w:type="paragraph" w:styleId="20">
    <w:name w:val="Document Map"/>
    <w:basedOn w:val="1"/>
    <w:uiPriority w:val="0"/>
    <w:pPr>
      <w:shd w:val="clear" w:color="auto" w:fill="000080"/>
    </w:pPr>
  </w:style>
  <w:style w:type="paragraph" w:styleId="21">
    <w:name w:val="Body Text"/>
    <w:basedOn w:val="1"/>
    <w:link w:val="115"/>
    <w:qFormat/>
    <w:uiPriority w:val="0"/>
    <w:pPr>
      <w:spacing w:after="120"/>
    </w:pPr>
  </w:style>
  <w:style w:type="paragraph" w:styleId="22">
    <w:name w:val="HTML Address"/>
    <w:basedOn w:val="1"/>
    <w:qFormat/>
    <w:uiPriority w:val="0"/>
    <w:rPr>
      <w:i/>
      <w:iCs/>
    </w:rPr>
  </w:style>
  <w:style w:type="paragraph" w:styleId="23">
    <w:name w:val="toc 8"/>
    <w:basedOn w:val="13"/>
    <w:next w:val="1"/>
    <w:qFormat/>
    <w:uiPriority w:val="0"/>
  </w:style>
  <w:style w:type="paragraph" w:styleId="24">
    <w:name w:val="Date"/>
    <w:basedOn w:val="1"/>
    <w:next w:val="1"/>
    <w:qFormat/>
    <w:uiPriority w:val="0"/>
    <w:pPr>
      <w:ind w:left="100" w:leftChars="2500"/>
    </w:pPr>
  </w:style>
  <w:style w:type="paragraph" w:styleId="25">
    <w:name w:val="Balloon Text"/>
    <w:basedOn w:val="1"/>
    <w:link w:val="114"/>
    <w:qFormat/>
    <w:uiPriority w:val="0"/>
    <w:rPr>
      <w:sz w:val="18"/>
      <w:szCs w:val="18"/>
    </w:rPr>
  </w:style>
  <w:style w:type="paragraph" w:styleId="26">
    <w:name w:val="footer"/>
    <w:basedOn w:val="1"/>
    <w:link w:val="117"/>
    <w:qFormat/>
    <w:uiPriority w:val="99"/>
    <w:pPr>
      <w:tabs>
        <w:tab w:val="center" w:pos="4153"/>
        <w:tab w:val="right" w:pos="8306"/>
      </w:tabs>
      <w:snapToGrid w:val="0"/>
      <w:ind w:right="210" w:rightChars="100"/>
      <w:jc w:val="right"/>
    </w:pPr>
    <w:rPr>
      <w:sz w:val="18"/>
      <w:szCs w:val="18"/>
    </w:rPr>
  </w:style>
  <w:style w:type="paragraph" w:styleId="27">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28">
    <w:name w:val="footnote text"/>
    <w:basedOn w:val="1"/>
    <w:qFormat/>
    <w:uiPriority w:val="0"/>
    <w:pPr>
      <w:snapToGrid w:val="0"/>
      <w:jc w:val="left"/>
    </w:pPr>
    <w:rPr>
      <w:sz w:val="18"/>
      <w:szCs w:val="18"/>
    </w:rPr>
  </w:style>
  <w:style w:type="paragraph" w:styleId="29">
    <w:name w:val="toc 9"/>
    <w:basedOn w:val="23"/>
    <w:next w:val="1"/>
    <w:qFormat/>
    <w:uiPriority w:val="0"/>
  </w:style>
  <w:style w:type="paragraph" w:styleId="30">
    <w:name w:val="HTML Preformatted"/>
    <w:basedOn w:val="1"/>
    <w:uiPriority w:val="0"/>
    <w:rPr>
      <w:rFonts w:ascii="Courier New" w:hAnsi="Courier New" w:cs="Courier New"/>
      <w:sz w:val="20"/>
      <w:szCs w:val="20"/>
    </w:rPr>
  </w:style>
  <w:style w:type="paragraph" w:styleId="31">
    <w:name w:val="Normal (Web)"/>
    <w:basedOn w:val="1"/>
    <w:unhideWhenUsed/>
    <w:uiPriority w:val="99"/>
    <w:pPr>
      <w:widowControl/>
      <w:spacing w:before="100" w:beforeAutospacing="1" w:after="100" w:afterAutospacing="1"/>
      <w:jc w:val="left"/>
    </w:pPr>
    <w:rPr>
      <w:rFonts w:ascii="宋体" w:hAnsi="宋体" w:cs="宋体"/>
      <w:kern w:val="0"/>
      <w:sz w:val="24"/>
    </w:rPr>
  </w:style>
  <w:style w:type="paragraph" w:styleId="32">
    <w:name w:val="Title"/>
    <w:basedOn w:val="1"/>
    <w:qFormat/>
    <w:uiPriority w:val="0"/>
    <w:pPr>
      <w:spacing w:before="240" w:after="60"/>
      <w:jc w:val="center"/>
      <w:outlineLvl w:val="0"/>
    </w:pPr>
    <w:rPr>
      <w:rFonts w:ascii="Arial" w:hAnsi="Arial" w:cs="Arial"/>
      <w:b/>
      <w:bCs/>
      <w:sz w:val="32"/>
      <w:szCs w:val="32"/>
    </w:rPr>
  </w:style>
  <w:style w:type="character" w:styleId="34">
    <w:name w:val="page number"/>
    <w:qFormat/>
    <w:uiPriority w:val="0"/>
    <w:rPr>
      <w:rFonts w:ascii="Times New Roman" w:hAnsi="Times New Roman" w:eastAsia="宋体"/>
      <w:sz w:val="18"/>
    </w:rPr>
  </w:style>
  <w:style w:type="character" w:styleId="35">
    <w:name w:val="FollowedHyperlink"/>
    <w:qFormat/>
    <w:uiPriority w:val="0"/>
    <w:rPr>
      <w:color w:val="800080"/>
      <w:u w:val="single"/>
    </w:rPr>
  </w:style>
  <w:style w:type="character" w:styleId="36">
    <w:name w:val="Emphasis"/>
    <w:qFormat/>
    <w:uiPriority w:val="20"/>
    <w:rPr>
      <w:color w:val="CC0000"/>
      <w:sz w:val="24"/>
      <w:szCs w:val="24"/>
    </w:rPr>
  </w:style>
  <w:style w:type="character" w:styleId="37">
    <w:name w:val="HTML Definition"/>
    <w:qFormat/>
    <w:uiPriority w:val="0"/>
    <w:rPr>
      <w:i/>
      <w:iCs/>
    </w:rPr>
  </w:style>
  <w:style w:type="character" w:styleId="38">
    <w:name w:val="HTML Typewriter"/>
    <w:qFormat/>
    <w:uiPriority w:val="0"/>
    <w:rPr>
      <w:rFonts w:ascii="Courier New" w:hAnsi="Courier New"/>
      <w:sz w:val="20"/>
      <w:szCs w:val="20"/>
    </w:rPr>
  </w:style>
  <w:style w:type="character" w:styleId="39">
    <w:name w:val="HTML Acronym"/>
    <w:basedOn w:val="33"/>
    <w:qFormat/>
    <w:uiPriority w:val="0"/>
  </w:style>
  <w:style w:type="character" w:styleId="40">
    <w:name w:val="HTML Variable"/>
    <w:qFormat/>
    <w:uiPriority w:val="0"/>
    <w:rPr>
      <w:i/>
      <w:iCs/>
    </w:rPr>
  </w:style>
  <w:style w:type="character" w:styleId="41">
    <w:name w:val="Hyperlink"/>
    <w:qFormat/>
    <w:uiPriority w:val="99"/>
    <w:rPr>
      <w:rFonts w:ascii="Times New Roman" w:hAnsi="Times New Roman" w:eastAsia="宋体"/>
      <w:color w:val="auto"/>
      <w:spacing w:val="0"/>
      <w:w w:val="100"/>
      <w:position w:val="0"/>
      <w:sz w:val="21"/>
      <w:u w:val="none"/>
    </w:rPr>
  </w:style>
  <w:style w:type="character" w:styleId="42">
    <w:name w:val="HTML Code"/>
    <w:qFormat/>
    <w:uiPriority w:val="0"/>
    <w:rPr>
      <w:rFonts w:ascii="Courier New" w:hAnsi="Courier New"/>
      <w:sz w:val="20"/>
      <w:szCs w:val="20"/>
    </w:rPr>
  </w:style>
  <w:style w:type="character" w:styleId="43">
    <w:name w:val="annotation reference"/>
    <w:basedOn w:val="33"/>
    <w:unhideWhenUsed/>
    <w:qFormat/>
    <w:uiPriority w:val="0"/>
    <w:rPr>
      <w:sz w:val="21"/>
      <w:szCs w:val="21"/>
    </w:rPr>
  </w:style>
  <w:style w:type="character" w:styleId="44">
    <w:name w:val="HTML Cite"/>
    <w:qFormat/>
    <w:uiPriority w:val="0"/>
    <w:rPr>
      <w:i/>
      <w:iCs/>
    </w:rPr>
  </w:style>
  <w:style w:type="character" w:styleId="45">
    <w:name w:val="footnote reference"/>
    <w:qFormat/>
    <w:uiPriority w:val="0"/>
    <w:rPr>
      <w:vertAlign w:val="superscript"/>
    </w:rPr>
  </w:style>
  <w:style w:type="character" w:styleId="46">
    <w:name w:val="HTML Keyboard"/>
    <w:qFormat/>
    <w:uiPriority w:val="0"/>
    <w:rPr>
      <w:rFonts w:ascii="Courier New" w:hAnsi="Courier New"/>
      <w:sz w:val="20"/>
      <w:szCs w:val="20"/>
    </w:rPr>
  </w:style>
  <w:style w:type="character" w:styleId="47">
    <w:name w:val="HTML Sample"/>
    <w:qFormat/>
    <w:uiPriority w:val="0"/>
    <w:rPr>
      <w:rFonts w:ascii="Courier New" w:hAnsi="Courier New"/>
    </w:rPr>
  </w:style>
  <w:style w:type="paragraph" w:customStyle="1" w:styleId="49">
    <w:name w:val="封面标准英文名称"/>
    <w:qFormat/>
    <w:uiPriority w:val="0"/>
    <w:pPr>
      <w:widowControl w:val="0"/>
      <w:spacing w:before="370" w:line="400" w:lineRule="exact"/>
      <w:jc w:val="center"/>
    </w:pPr>
    <w:rPr>
      <w:rFonts w:ascii="Times New Roman" w:hAnsi="Times New Roman" w:eastAsia="宋体" w:cs="Times New Roman"/>
      <w:sz w:val="28"/>
      <w:lang w:val="en-US" w:eastAsia="zh-CN" w:bidi="ar-SA"/>
    </w:rPr>
  </w:style>
  <w:style w:type="paragraph" w:customStyle="1" w:styleId="50">
    <w:name w:val="封面标准号2"/>
    <w:basedOn w:val="51"/>
    <w:qFormat/>
    <w:uiPriority w:val="0"/>
    <w:pPr>
      <w:adjustRightInd w:val="0"/>
      <w:spacing w:before="357" w:line="280" w:lineRule="exact"/>
    </w:pPr>
  </w:style>
  <w:style w:type="paragraph" w:customStyle="1" w:styleId="51">
    <w:name w:val="封面标准号1"/>
    <w:qFormat/>
    <w:uiPriority w:val="0"/>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52">
    <w:name w:val="四级条标题"/>
    <w:basedOn w:val="53"/>
    <w:next w:val="57"/>
    <w:qFormat/>
    <w:uiPriority w:val="0"/>
    <w:pPr>
      <w:outlineLvl w:val="5"/>
    </w:pPr>
  </w:style>
  <w:style w:type="paragraph" w:customStyle="1" w:styleId="53">
    <w:name w:val="三级条标题"/>
    <w:basedOn w:val="54"/>
    <w:next w:val="57"/>
    <w:qFormat/>
    <w:uiPriority w:val="0"/>
    <w:pPr>
      <w:outlineLvl w:val="4"/>
    </w:pPr>
  </w:style>
  <w:style w:type="paragraph" w:customStyle="1" w:styleId="54">
    <w:name w:val="二级条标题"/>
    <w:basedOn w:val="55"/>
    <w:next w:val="57"/>
    <w:qFormat/>
    <w:uiPriority w:val="0"/>
    <w:pPr>
      <w:outlineLvl w:val="3"/>
    </w:pPr>
  </w:style>
  <w:style w:type="paragraph" w:customStyle="1" w:styleId="55">
    <w:name w:val="一级条标题"/>
    <w:basedOn w:val="56"/>
    <w:next w:val="57"/>
    <w:qFormat/>
    <w:uiPriority w:val="0"/>
    <w:pPr>
      <w:spacing w:beforeLines="0" w:afterLines="0"/>
      <w:outlineLvl w:val="2"/>
    </w:pPr>
  </w:style>
  <w:style w:type="paragraph" w:customStyle="1" w:styleId="56">
    <w:name w:val="章标题"/>
    <w:next w:val="57"/>
    <w:qFormat/>
    <w:uiPriority w:val="0"/>
    <w:pPr>
      <w:spacing w:beforeLines="50" w:afterLines="50"/>
      <w:jc w:val="both"/>
      <w:outlineLvl w:val="1"/>
    </w:pPr>
    <w:rPr>
      <w:rFonts w:ascii="黑体" w:hAnsi="Times New Roman" w:eastAsia="黑体" w:cs="Times New Roman"/>
      <w:sz w:val="21"/>
      <w:lang w:val="en-US" w:eastAsia="zh-CN" w:bidi="ar-SA"/>
    </w:rPr>
  </w:style>
  <w:style w:type="paragraph" w:customStyle="1" w:styleId="57">
    <w:name w:val="段"/>
    <w:link w:val="124"/>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58">
    <w:name w:val="示例"/>
    <w:next w:val="57"/>
    <w:qFormat/>
    <w:uiPriority w:val="0"/>
    <w:pPr>
      <w:tabs>
        <w:tab w:val="left" w:pos="1120"/>
      </w:tabs>
      <w:ind w:firstLine="400"/>
      <w:jc w:val="both"/>
    </w:pPr>
    <w:rPr>
      <w:rFonts w:ascii="宋体" w:hAnsi="Times New Roman" w:eastAsia="宋体" w:cs="Times New Roman"/>
      <w:sz w:val="18"/>
      <w:lang w:val="en-US" w:eastAsia="zh-CN" w:bidi="ar-SA"/>
    </w:rPr>
  </w:style>
  <w:style w:type="paragraph" w:customStyle="1" w:styleId="59">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60">
    <w:name w:val="附录三级条标题"/>
    <w:basedOn w:val="61"/>
    <w:next w:val="57"/>
    <w:qFormat/>
    <w:uiPriority w:val="0"/>
    <w:pPr>
      <w:outlineLvl w:val="4"/>
    </w:pPr>
  </w:style>
  <w:style w:type="paragraph" w:customStyle="1" w:styleId="61">
    <w:name w:val="附录二级条标题"/>
    <w:basedOn w:val="62"/>
    <w:next w:val="57"/>
    <w:qFormat/>
    <w:uiPriority w:val="0"/>
    <w:pPr>
      <w:outlineLvl w:val="3"/>
    </w:pPr>
  </w:style>
  <w:style w:type="paragraph" w:customStyle="1" w:styleId="62">
    <w:name w:val="附录一级条标题"/>
    <w:basedOn w:val="63"/>
    <w:next w:val="57"/>
    <w:qFormat/>
    <w:uiPriority w:val="0"/>
    <w:pPr>
      <w:autoSpaceDN w:val="0"/>
      <w:spacing w:beforeLines="0" w:afterLines="0"/>
      <w:outlineLvl w:val="2"/>
    </w:pPr>
  </w:style>
  <w:style w:type="paragraph" w:customStyle="1" w:styleId="63">
    <w:name w:val="附录章标题"/>
    <w:next w:val="57"/>
    <w:qFormat/>
    <w:uiPriority w:val="0"/>
    <w:pPr>
      <w:wordWrap w:val="0"/>
      <w:overflowPunct w:val="0"/>
      <w:autoSpaceDE w:val="0"/>
      <w:spacing w:beforeLines="50" w:afterLines="50"/>
      <w:jc w:val="both"/>
      <w:textAlignment w:val="baseline"/>
      <w:outlineLvl w:val="1"/>
    </w:pPr>
    <w:rPr>
      <w:rFonts w:ascii="黑体" w:hAnsi="Times New Roman" w:eastAsia="黑体" w:cs="Times New Roman"/>
      <w:kern w:val="21"/>
      <w:sz w:val="21"/>
      <w:lang w:val="en-US" w:eastAsia="zh-CN" w:bidi="ar-SA"/>
    </w:rPr>
  </w:style>
  <w:style w:type="paragraph" w:customStyle="1" w:styleId="64">
    <w:name w:val="附录标识"/>
    <w:basedOn w:val="65"/>
    <w:qFormat/>
    <w:uiPriority w:val="0"/>
    <w:pPr>
      <w:tabs>
        <w:tab w:val="left" w:pos="6405"/>
      </w:tabs>
      <w:spacing w:after="200"/>
    </w:pPr>
    <w:rPr>
      <w:sz w:val="21"/>
    </w:rPr>
  </w:style>
  <w:style w:type="paragraph" w:customStyle="1" w:styleId="65">
    <w:name w:val="前言、引言标题"/>
    <w:next w:val="1"/>
    <w:qFormat/>
    <w:uiPriority w:val="0"/>
    <w:pPr>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66">
    <w:name w:val="文献分类号"/>
    <w:qFormat/>
    <w:uiPriority w:val="0"/>
    <w:pPr>
      <w:widowControl w:val="0"/>
      <w:textAlignment w:val="center"/>
    </w:pPr>
    <w:rPr>
      <w:rFonts w:ascii="Times New Roman" w:hAnsi="Times New Roman" w:eastAsia="黑体" w:cs="Times New Roman"/>
      <w:sz w:val="21"/>
      <w:lang w:val="en-US" w:eastAsia="zh-CN" w:bidi="ar-SA"/>
    </w:rPr>
  </w:style>
  <w:style w:type="paragraph" w:customStyle="1" w:styleId="67">
    <w:name w:val="封面标准名称"/>
    <w:qFormat/>
    <w:uiPriority w:val="0"/>
    <w:pPr>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68">
    <w:name w:val="条文脚注"/>
    <w:basedOn w:val="28"/>
    <w:qFormat/>
    <w:uiPriority w:val="0"/>
    <w:pPr>
      <w:ind w:left="780" w:leftChars="200" w:hanging="360" w:hangingChars="200"/>
      <w:jc w:val="both"/>
    </w:pPr>
    <w:rPr>
      <w:rFonts w:ascii="宋体"/>
    </w:rPr>
  </w:style>
  <w:style w:type="paragraph" w:customStyle="1" w:styleId="69">
    <w:name w:val="标准书眉_偶数页"/>
    <w:basedOn w:val="59"/>
    <w:next w:val="1"/>
    <w:uiPriority w:val="0"/>
    <w:pPr>
      <w:jc w:val="left"/>
    </w:pPr>
  </w:style>
  <w:style w:type="paragraph" w:customStyle="1" w:styleId="70">
    <w:name w:val="参考标题"/>
    <w:basedOn w:val="21"/>
    <w:next w:val="57"/>
    <w:qFormat/>
    <w:uiPriority w:val="0"/>
    <w:pPr>
      <w:widowControl/>
      <w:spacing w:before="560" w:after="160"/>
      <w:jc w:val="center"/>
    </w:pPr>
    <w:rPr>
      <w:rFonts w:ascii="黑体" w:eastAsia="黑体"/>
      <w:kern w:val="0"/>
      <w:szCs w:val="20"/>
    </w:rPr>
  </w:style>
  <w:style w:type="paragraph" w:customStyle="1" w:styleId="71">
    <w:name w:val="附录四级条标题"/>
    <w:basedOn w:val="60"/>
    <w:next w:val="57"/>
    <w:uiPriority w:val="0"/>
    <w:pPr>
      <w:outlineLvl w:val="5"/>
    </w:pPr>
  </w:style>
  <w:style w:type="paragraph" w:customStyle="1" w:styleId="72">
    <w:name w:val="五级条标题"/>
    <w:basedOn w:val="52"/>
    <w:next w:val="57"/>
    <w:qFormat/>
    <w:uiPriority w:val="0"/>
    <w:pPr>
      <w:outlineLvl w:val="6"/>
    </w:pPr>
  </w:style>
  <w:style w:type="paragraph" w:customStyle="1" w:styleId="73">
    <w:name w:val="附录五级条标题"/>
    <w:basedOn w:val="71"/>
    <w:next w:val="57"/>
    <w:qFormat/>
    <w:uiPriority w:val="0"/>
    <w:pPr>
      <w:outlineLvl w:val="6"/>
    </w:pPr>
  </w:style>
  <w:style w:type="paragraph" w:customStyle="1" w:styleId="74">
    <w:name w:val="列项·"/>
    <w:qFormat/>
    <w:uiPriority w:val="0"/>
    <w:pPr>
      <w:tabs>
        <w:tab w:val="left" w:pos="840"/>
      </w:tabs>
      <w:ind w:left="737" w:hanging="317"/>
      <w:jc w:val="both"/>
    </w:pPr>
    <w:rPr>
      <w:rFonts w:ascii="宋体" w:hAnsi="Times New Roman" w:eastAsia="宋体" w:cs="Times New Roman"/>
      <w:sz w:val="21"/>
      <w:lang w:val="en-US" w:eastAsia="zh-CN" w:bidi="ar-SA"/>
    </w:rPr>
  </w:style>
  <w:style w:type="paragraph" w:customStyle="1" w:styleId="75">
    <w:name w:val="标准标志"/>
    <w:next w:val="1"/>
    <w:qFormat/>
    <w:uiPriority w:val="0"/>
    <w:pPr>
      <w:shd w:val="solid" w:color="FFFFFF" w:fill="FFFFFF"/>
      <w:spacing w:line="0" w:lineRule="atLeast"/>
      <w:jc w:val="right"/>
    </w:pPr>
    <w:rPr>
      <w:rFonts w:ascii="Times New Roman" w:hAnsi="Times New Roman" w:eastAsia="宋体" w:cs="Times New Roman"/>
      <w:b/>
      <w:w w:val="130"/>
      <w:sz w:val="96"/>
      <w:lang w:val="en-US" w:eastAsia="zh-CN" w:bidi="ar-SA"/>
    </w:rPr>
  </w:style>
  <w:style w:type="paragraph" w:customStyle="1" w:styleId="76">
    <w:name w:val="目次、标准名称标题"/>
    <w:basedOn w:val="65"/>
    <w:next w:val="57"/>
    <w:qFormat/>
    <w:uiPriority w:val="0"/>
    <w:pPr>
      <w:spacing w:line="460" w:lineRule="exact"/>
    </w:pPr>
  </w:style>
  <w:style w:type="paragraph" w:customStyle="1" w:styleId="77">
    <w:name w:val="封面标准文稿类别"/>
    <w:qFormat/>
    <w:uiPriority w:val="0"/>
    <w:pPr>
      <w:spacing w:before="440" w:line="400" w:lineRule="exact"/>
      <w:jc w:val="center"/>
    </w:pPr>
    <w:rPr>
      <w:rFonts w:ascii="宋体" w:hAnsi="Times New Roman" w:eastAsia="宋体" w:cs="Times New Roman"/>
      <w:sz w:val="24"/>
      <w:lang w:val="en-US" w:eastAsia="zh-CN" w:bidi="ar-SA"/>
    </w:rPr>
  </w:style>
  <w:style w:type="paragraph" w:customStyle="1" w:styleId="78">
    <w:name w:val="无标题条"/>
    <w:next w:val="57"/>
    <w:uiPriority w:val="0"/>
    <w:pPr>
      <w:jc w:val="both"/>
    </w:pPr>
    <w:rPr>
      <w:rFonts w:ascii="Times New Roman" w:hAnsi="Times New Roman" w:eastAsia="宋体" w:cs="Times New Roman"/>
      <w:sz w:val="21"/>
      <w:lang w:val="en-US" w:eastAsia="zh-CN" w:bidi="ar-SA"/>
    </w:rPr>
  </w:style>
  <w:style w:type="paragraph" w:customStyle="1" w:styleId="79">
    <w:name w:val="标准书脚_偶数页"/>
    <w:qFormat/>
    <w:uiPriority w:val="0"/>
    <w:pPr>
      <w:spacing w:before="120"/>
    </w:pPr>
    <w:rPr>
      <w:rFonts w:ascii="Times New Roman" w:hAnsi="Times New Roman" w:eastAsia="宋体" w:cs="Times New Roman"/>
      <w:sz w:val="18"/>
      <w:lang w:val="en-US" w:eastAsia="zh-CN" w:bidi="ar-SA"/>
    </w:rPr>
  </w:style>
  <w:style w:type="paragraph" w:customStyle="1" w:styleId="80">
    <w:name w:val="实施日期"/>
    <w:basedOn w:val="81"/>
    <w:qFormat/>
    <w:uiPriority w:val="0"/>
    <w:pPr>
      <w:jc w:val="right"/>
    </w:pPr>
  </w:style>
  <w:style w:type="paragraph" w:customStyle="1" w:styleId="81">
    <w:name w:val="发布日期"/>
    <w:qFormat/>
    <w:uiPriority w:val="0"/>
    <w:rPr>
      <w:rFonts w:ascii="Times New Roman" w:hAnsi="Times New Roman" w:eastAsia="黑体" w:cs="Times New Roman"/>
      <w:sz w:val="28"/>
      <w:lang w:val="en-US" w:eastAsia="zh-CN" w:bidi="ar-SA"/>
    </w:rPr>
  </w:style>
  <w:style w:type="paragraph" w:customStyle="1" w:styleId="82">
    <w:name w:val="参考文献、索引标题"/>
    <w:basedOn w:val="65"/>
    <w:next w:val="1"/>
    <w:qFormat/>
    <w:uiPriority w:val="0"/>
    <w:pPr>
      <w:spacing w:after="200"/>
    </w:pPr>
    <w:rPr>
      <w:sz w:val="21"/>
    </w:rPr>
  </w:style>
  <w:style w:type="paragraph" w:customStyle="1" w:styleId="83">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84">
    <w:name w:val="五级无标题条"/>
    <w:basedOn w:val="1"/>
    <w:qFormat/>
    <w:uiPriority w:val="0"/>
  </w:style>
  <w:style w:type="paragraph" w:customStyle="1" w:styleId="85">
    <w:name w:val="标准书眉一"/>
    <w:qFormat/>
    <w:uiPriority w:val="0"/>
    <w:pPr>
      <w:jc w:val="both"/>
    </w:pPr>
    <w:rPr>
      <w:rFonts w:ascii="Times New Roman" w:hAnsi="Times New Roman" w:eastAsia="宋体" w:cs="Times New Roman"/>
      <w:lang w:val="en-US" w:eastAsia="zh-CN" w:bidi="ar-SA"/>
    </w:rPr>
  </w:style>
  <w:style w:type="paragraph" w:customStyle="1" w:styleId="86">
    <w:name w:val="三级无标题条"/>
    <w:basedOn w:val="1"/>
    <w:qFormat/>
    <w:uiPriority w:val="0"/>
  </w:style>
  <w:style w:type="paragraph" w:customStyle="1" w:styleId="87">
    <w:name w:val="封面标准代替信息"/>
    <w:basedOn w:val="50"/>
    <w:qFormat/>
    <w:uiPriority w:val="0"/>
    <w:pPr>
      <w:spacing w:before="57"/>
    </w:pPr>
    <w:rPr>
      <w:rFonts w:ascii="宋体"/>
      <w:sz w:val="21"/>
    </w:rPr>
  </w:style>
  <w:style w:type="paragraph" w:customStyle="1" w:styleId="88">
    <w:name w:val="四级无标题条"/>
    <w:basedOn w:val="1"/>
    <w:qFormat/>
    <w:uiPriority w:val="0"/>
  </w:style>
  <w:style w:type="paragraph" w:customStyle="1" w:styleId="89">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90">
    <w:name w:val="其他标准称谓"/>
    <w:qFormat/>
    <w:uiPriority w:val="0"/>
    <w:pPr>
      <w:spacing w:line="0" w:lineRule="atLeast"/>
      <w:jc w:val="distribute"/>
    </w:pPr>
    <w:rPr>
      <w:rFonts w:ascii="黑体" w:hAnsi="宋体" w:eastAsia="黑体" w:cs="Times New Roman"/>
      <w:sz w:val="52"/>
      <w:lang w:val="en-US" w:eastAsia="zh-CN" w:bidi="ar-SA"/>
    </w:rPr>
  </w:style>
  <w:style w:type="paragraph" w:customStyle="1" w:styleId="91">
    <w:name w:val="标准书脚_奇数页"/>
    <w:qFormat/>
    <w:uiPriority w:val="0"/>
    <w:pPr>
      <w:spacing w:before="120"/>
      <w:jc w:val="right"/>
    </w:pPr>
    <w:rPr>
      <w:rFonts w:ascii="Times New Roman" w:hAnsi="Times New Roman" w:eastAsia="宋体" w:cs="Times New Roman"/>
      <w:sz w:val="18"/>
      <w:lang w:val="en-US" w:eastAsia="zh-CN" w:bidi="ar-SA"/>
    </w:rPr>
  </w:style>
  <w:style w:type="paragraph" w:customStyle="1" w:styleId="92">
    <w:name w:val="图表脚注"/>
    <w:next w:val="57"/>
    <w:qFormat/>
    <w:uiPriority w:val="0"/>
    <w:pPr>
      <w:ind w:left="300" w:leftChars="200" w:hanging="100" w:hangingChars="100"/>
      <w:jc w:val="both"/>
    </w:pPr>
    <w:rPr>
      <w:rFonts w:ascii="宋体" w:hAnsi="Times New Roman" w:eastAsia="宋体" w:cs="Times New Roman"/>
      <w:sz w:val="18"/>
      <w:lang w:val="en-US" w:eastAsia="zh-CN" w:bidi="ar-SA"/>
    </w:rPr>
  </w:style>
  <w:style w:type="paragraph" w:customStyle="1" w:styleId="93">
    <w:name w:val="标准称谓"/>
    <w:next w:val="1"/>
    <w:qFormat/>
    <w:uiPriority w:val="0"/>
    <w:pPr>
      <w:widowControl w:val="0"/>
      <w:kinsoku w:val="0"/>
      <w:overflowPunct w:val="0"/>
      <w:autoSpaceDE w:val="0"/>
      <w:autoSpaceDN w:val="0"/>
      <w:spacing w:line="0" w:lineRule="atLeast"/>
      <w:jc w:val="distribute"/>
    </w:pPr>
    <w:rPr>
      <w:rFonts w:ascii="宋体" w:hAnsi="Times New Roman" w:eastAsia="宋体" w:cs="Times New Roman"/>
      <w:b/>
      <w:bCs/>
      <w:spacing w:val="20"/>
      <w:w w:val="148"/>
      <w:sz w:val="52"/>
      <w:lang w:val="en-US" w:eastAsia="zh-CN" w:bidi="ar-SA"/>
    </w:rPr>
  </w:style>
  <w:style w:type="paragraph" w:customStyle="1" w:styleId="94">
    <w:name w:val="附录图标题"/>
    <w:next w:val="57"/>
    <w:qFormat/>
    <w:uiPriority w:val="0"/>
    <w:pPr>
      <w:jc w:val="center"/>
    </w:pPr>
    <w:rPr>
      <w:rFonts w:ascii="黑体" w:hAnsi="Times New Roman" w:eastAsia="黑体" w:cs="Times New Roman"/>
      <w:sz w:val="21"/>
      <w:lang w:val="en-US" w:eastAsia="zh-CN" w:bidi="ar-SA"/>
    </w:rPr>
  </w:style>
  <w:style w:type="paragraph" w:customStyle="1" w:styleId="95">
    <w:name w:val="附录表标题"/>
    <w:next w:val="57"/>
    <w:qFormat/>
    <w:uiPriority w:val="0"/>
    <w:pPr>
      <w:jc w:val="center"/>
      <w:textAlignment w:val="baseline"/>
    </w:pPr>
    <w:rPr>
      <w:rFonts w:ascii="黑体" w:hAnsi="Times New Roman" w:eastAsia="黑体" w:cs="Times New Roman"/>
      <w:kern w:val="21"/>
      <w:sz w:val="21"/>
      <w:lang w:val="en-US" w:eastAsia="zh-CN" w:bidi="ar-SA"/>
    </w:rPr>
  </w:style>
  <w:style w:type="paragraph" w:customStyle="1" w:styleId="96">
    <w:name w:val="一级无标题条"/>
    <w:basedOn w:val="1"/>
    <w:qFormat/>
    <w:uiPriority w:val="0"/>
  </w:style>
  <w:style w:type="paragraph" w:customStyle="1" w:styleId="97">
    <w:name w:val="发布部门"/>
    <w:next w:val="57"/>
    <w:qFormat/>
    <w:uiPriority w:val="0"/>
    <w:pPr>
      <w:jc w:val="center"/>
    </w:pPr>
    <w:rPr>
      <w:rFonts w:ascii="宋体" w:hAnsi="Times New Roman" w:eastAsia="宋体" w:cs="Times New Roman"/>
      <w:b/>
      <w:spacing w:val="20"/>
      <w:w w:val="135"/>
      <w:sz w:val="36"/>
      <w:lang w:val="en-US" w:eastAsia="zh-CN" w:bidi="ar-SA"/>
    </w:rPr>
  </w:style>
  <w:style w:type="paragraph" w:customStyle="1" w:styleId="98">
    <w:name w:val="正文表标题"/>
    <w:next w:val="57"/>
    <w:qFormat/>
    <w:uiPriority w:val="0"/>
    <w:pPr>
      <w:jc w:val="center"/>
    </w:pPr>
    <w:rPr>
      <w:rFonts w:ascii="黑体" w:hAnsi="Times New Roman" w:eastAsia="黑体" w:cs="Times New Roman"/>
      <w:sz w:val="21"/>
      <w:lang w:val="en-US" w:eastAsia="zh-CN" w:bidi="ar-SA"/>
    </w:rPr>
  </w:style>
  <w:style w:type="paragraph" w:customStyle="1" w:styleId="99">
    <w:name w:val="其他发布部门"/>
    <w:basedOn w:val="97"/>
    <w:qFormat/>
    <w:uiPriority w:val="0"/>
    <w:pPr>
      <w:spacing w:line="0" w:lineRule="atLeast"/>
    </w:pPr>
    <w:rPr>
      <w:rFonts w:ascii="黑体" w:eastAsia="黑体"/>
      <w:b w:val="0"/>
    </w:rPr>
  </w:style>
  <w:style w:type="paragraph" w:customStyle="1" w:styleId="100">
    <w:name w:val="正文图标题"/>
    <w:next w:val="57"/>
    <w:qFormat/>
    <w:uiPriority w:val="0"/>
    <w:pPr>
      <w:jc w:val="center"/>
    </w:pPr>
    <w:rPr>
      <w:rFonts w:ascii="黑体" w:hAnsi="Times New Roman" w:eastAsia="黑体" w:cs="Times New Roman"/>
      <w:sz w:val="21"/>
      <w:lang w:val="en-US" w:eastAsia="zh-CN" w:bidi="ar-SA"/>
    </w:rPr>
  </w:style>
  <w:style w:type="paragraph" w:customStyle="1" w:styleId="101">
    <w:name w:val="注："/>
    <w:next w:val="57"/>
    <w:qFormat/>
    <w:uiPriority w:val="0"/>
    <w:pPr>
      <w:widowControl w:val="0"/>
      <w:tabs>
        <w:tab w:val="left" w:pos="1140"/>
      </w:tabs>
      <w:autoSpaceDE w:val="0"/>
      <w:autoSpaceDN w:val="0"/>
      <w:ind w:left="840" w:hanging="420"/>
      <w:jc w:val="both"/>
    </w:pPr>
    <w:rPr>
      <w:rFonts w:ascii="宋体" w:hAnsi="Times New Roman" w:eastAsia="宋体" w:cs="Times New Roman"/>
      <w:sz w:val="18"/>
      <w:lang w:val="en-US" w:eastAsia="zh-CN" w:bidi="ar-SA"/>
    </w:rPr>
  </w:style>
  <w:style w:type="paragraph" w:customStyle="1" w:styleId="102">
    <w:name w:val="二级无标题条"/>
    <w:basedOn w:val="1"/>
    <w:qFormat/>
    <w:uiPriority w:val="0"/>
  </w:style>
  <w:style w:type="paragraph" w:customStyle="1" w:styleId="103">
    <w:name w:val="列项——"/>
    <w:qFormat/>
    <w:uiPriority w:val="0"/>
    <w:pPr>
      <w:widowControl w:val="0"/>
      <w:tabs>
        <w:tab w:val="left" w:pos="1140"/>
      </w:tabs>
      <w:ind w:left="840" w:hanging="420"/>
      <w:jc w:val="both"/>
    </w:pPr>
    <w:rPr>
      <w:rFonts w:ascii="宋体" w:hAnsi="Times New Roman" w:eastAsia="宋体" w:cs="Times New Roman"/>
      <w:sz w:val="21"/>
      <w:lang w:val="en-US" w:eastAsia="zh-CN" w:bidi="ar-SA"/>
    </w:rPr>
  </w:style>
  <w:style w:type="paragraph" w:customStyle="1" w:styleId="104">
    <w:name w:val="注×："/>
    <w:qFormat/>
    <w:uiPriority w:val="0"/>
    <w:pPr>
      <w:widowControl w:val="0"/>
      <w:tabs>
        <w:tab w:val="left" w:pos="630"/>
      </w:tabs>
      <w:autoSpaceDE w:val="0"/>
      <w:autoSpaceDN w:val="0"/>
      <w:ind w:left="900" w:hanging="500"/>
      <w:jc w:val="both"/>
    </w:pPr>
    <w:rPr>
      <w:rFonts w:ascii="宋体" w:hAnsi="Times New Roman" w:eastAsia="宋体" w:cs="Times New Roman"/>
      <w:sz w:val="18"/>
      <w:lang w:val="en-US" w:eastAsia="zh-CN" w:bidi="ar-SA"/>
    </w:rPr>
  </w:style>
  <w:style w:type="paragraph" w:customStyle="1" w:styleId="105">
    <w:name w:val="封面一致性程度标识"/>
    <w:qFormat/>
    <w:uiPriority w:val="0"/>
    <w:pPr>
      <w:spacing w:before="440" w:line="400" w:lineRule="exact"/>
      <w:jc w:val="center"/>
    </w:pPr>
    <w:rPr>
      <w:rFonts w:ascii="宋体" w:hAnsi="Times New Roman" w:eastAsia="宋体" w:cs="Times New Roman"/>
      <w:sz w:val="28"/>
      <w:lang w:val="en-US" w:eastAsia="zh-CN" w:bidi="ar-SA"/>
    </w:rPr>
  </w:style>
  <w:style w:type="paragraph" w:customStyle="1" w:styleId="106">
    <w:name w:val="字母编号列项（一级）"/>
    <w:qFormat/>
    <w:uiPriority w:val="0"/>
    <w:pPr>
      <w:ind w:left="840" w:leftChars="200" w:hanging="420" w:hangingChars="200"/>
      <w:jc w:val="both"/>
    </w:pPr>
    <w:rPr>
      <w:rFonts w:ascii="宋体" w:hAnsi="Times New Roman" w:eastAsia="宋体" w:cs="Times New Roman"/>
      <w:sz w:val="21"/>
      <w:lang w:val="en-US" w:eastAsia="zh-CN" w:bidi="ar-SA"/>
    </w:rPr>
  </w:style>
  <w:style w:type="paragraph" w:customStyle="1" w:styleId="107">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108">
    <w:name w:val="数字编号列项（二级）"/>
    <w:qFormat/>
    <w:uiPriority w:val="0"/>
    <w:pPr>
      <w:ind w:left="1260" w:leftChars="400" w:hanging="420" w:hangingChars="200"/>
      <w:jc w:val="both"/>
    </w:pPr>
    <w:rPr>
      <w:rFonts w:ascii="宋体" w:hAnsi="Times New Roman" w:eastAsia="宋体" w:cs="Times New Roman"/>
      <w:sz w:val="21"/>
      <w:lang w:val="en-US" w:eastAsia="zh-CN" w:bidi="ar-SA"/>
    </w:rPr>
  </w:style>
  <w:style w:type="paragraph" w:customStyle="1" w:styleId="109">
    <w:name w:val="列出段落1"/>
    <w:basedOn w:val="1"/>
    <w:qFormat/>
    <w:uiPriority w:val="0"/>
    <w:pPr>
      <w:ind w:firstLine="420" w:firstLineChars="200"/>
    </w:pPr>
  </w:style>
  <w:style w:type="paragraph" w:customStyle="1" w:styleId="110">
    <w:name w:val="封面正文"/>
    <w:qFormat/>
    <w:uiPriority w:val="0"/>
    <w:pPr>
      <w:jc w:val="both"/>
    </w:pPr>
    <w:rPr>
      <w:rFonts w:ascii="Times New Roman" w:hAnsi="Times New Roman" w:eastAsia="宋体" w:cs="Times New Roman"/>
      <w:lang w:val="en-US" w:eastAsia="zh-CN" w:bidi="ar-SA"/>
    </w:rPr>
  </w:style>
  <w:style w:type="paragraph" w:customStyle="1" w:styleId="111">
    <w:name w:val="条2"/>
    <w:basedOn w:val="1"/>
    <w:next w:val="57"/>
    <w:qFormat/>
    <w:uiPriority w:val="0"/>
    <w:pPr>
      <w:outlineLvl w:val="1"/>
    </w:pPr>
    <w:rPr>
      <w:rFonts w:ascii="黑体" w:eastAsia="黑体"/>
      <w:kern w:val="21"/>
      <w:szCs w:val="20"/>
    </w:rPr>
  </w:style>
  <w:style w:type="character" w:customStyle="1" w:styleId="112">
    <w:name w:val="发布"/>
    <w:qFormat/>
    <w:uiPriority w:val="0"/>
    <w:rPr>
      <w:rFonts w:ascii="黑体" w:eastAsia="黑体"/>
      <w:spacing w:val="22"/>
      <w:w w:val="100"/>
      <w:position w:val="3"/>
      <w:sz w:val="28"/>
    </w:rPr>
  </w:style>
  <w:style w:type="character" w:customStyle="1" w:styleId="113">
    <w:name w:val="个人答复风格"/>
    <w:qFormat/>
    <w:uiPriority w:val="0"/>
    <w:rPr>
      <w:rFonts w:ascii="Arial" w:hAnsi="Arial" w:eastAsia="宋体" w:cs="Arial"/>
      <w:color w:val="auto"/>
      <w:sz w:val="20"/>
    </w:rPr>
  </w:style>
  <w:style w:type="character" w:customStyle="1" w:styleId="114">
    <w:name w:val="批注框文本 字符"/>
    <w:link w:val="25"/>
    <w:qFormat/>
    <w:uiPriority w:val="0"/>
    <w:rPr>
      <w:kern w:val="2"/>
      <w:sz w:val="18"/>
      <w:szCs w:val="18"/>
    </w:rPr>
  </w:style>
  <w:style w:type="character" w:customStyle="1" w:styleId="115">
    <w:name w:val="正文文本 字符"/>
    <w:link w:val="21"/>
    <w:qFormat/>
    <w:uiPriority w:val="0"/>
    <w:rPr>
      <w:kern w:val="2"/>
      <w:sz w:val="21"/>
      <w:szCs w:val="24"/>
    </w:rPr>
  </w:style>
  <w:style w:type="character" w:customStyle="1" w:styleId="116">
    <w:name w:val="个人撰写风格"/>
    <w:qFormat/>
    <w:uiPriority w:val="0"/>
    <w:rPr>
      <w:rFonts w:ascii="Arial" w:hAnsi="Arial" w:eastAsia="宋体" w:cs="Arial"/>
      <w:color w:val="auto"/>
      <w:sz w:val="20"/>
    </w:rPr>
  </w:style>
  <w:style w:type="character" w:customStyle="1" w:styleId="117">
    <w:name w:val="页脚 字符"/>
    <w:basedOn w:val="33"/>
    <w:link w:val="26"/>
    <w:qFormat/>
    <w:uiPriority w:val="99"/>
    <w:rPr>
      <w:kern w:val="2"/>
      <w:sz w:val="18"/>
      <w:szCs w:val="18"/>
    </w:rPr>
  </w:style>
  <w:style w:type="character" w:customStyle="1" w:styleId="118">
    <w:name w:val="批注文字 字符"/>
    <w:basedOn w:val="33"/>
    <w:link w:val="12"/>
    <w:semiHidden/>
    <w:qFormat/>
    <w:uiPriority w:val="0"/>
    <w:rPr>
      <w:kern w:val="2"/>
      <w:sz w:val="21"/>
      <w:szCs w:val="24"/>
    </w:rPr>
  </w:style>
  <w:style w:type="character" w:customStyle="1" w:styleId="119">
    <w:name w:val="批注主题 字符"/>
    <w:basedOn w:val="118"/>
    <w:link w:val="11"/>
    <w:semiHidden/>
    <w:qFormat/>
    <w:uiPriority w:val="0"/>
    <w:rPr>
      <w:b/>
      <w:bCs/>
      <w:kern w:val="2"/>
      <w:sz w:val="21"/>
      <w:szCs w:val="24"/>
    </w:rPr>
  </w:style>
  <w:style w:type="table" w:customStyle="1" w:styleId="120">
    <w:name w:val="Table Normal"/>
    <w:unhideWhenUsed/>
    <w:qFormat/>
    <w:uiPriority w:val="2"/>
    <w:pPr>
      <w:widowControl w:val="0"/>
    </w:pPr>
    <w:rPr>
      <w:rFonts w:asciiTheme="minorHAnsi" w:hAnsiTheme="minorHAnsi" w:eastAsiaTheme="minorEastAsia" w:cstheme="minorBidi"/>
      <w:sz w:val="22"/>
      <w:szCs w:val="22"/>
      <w:lang w:eastAsia="en-US"/>
    </w:rPr>
    <w:tblPr>
      <w:tblLayout w:type="fixed"/>
      <w:tblCellMar>
        <w:top w:w="0" w:type="dxa"/>
        <w:left w:w="0" w:type="dxa"/>
        <w:bottom w:w="0" w:type="dxa"/>
        <w:right w:w="0" w:type="dxa"/>
      </w:tblCellMar>
    </w:tblPr>
  </w:style>
  <w:style w:type="paragraph" w:customStyle="1" w:styleId="121">
    <w:name w:val="Table Paragraph"/>
    <w:basedOn w:val="1"/>
    <w:qFormat/>
    <w:uiPriority w:val="1"/>
    <w:pPr>
      <w:jc w:val="left"/>
    </w:pPr>
    <w:rPr>
      <w:rFonts w:asciiTheme="minorHAnsi" w:hAnsiTheme="minorHAnsi" w:eastAsiaTheme="minorEastAsia" w:cstheme="minorBidi"/>
      <w:kern w:val="0"/>
      <w:sz w:val="22"/>
      <w:szCs w:val="22"/>
      <w:lang w:eastAsia="en-US"/>
    </w:rPr>
  </w:style>
  <w:style w:type="paragraph" w:customStyle="1" w:styleId="122">
    <w:name w:val="List Paragraph"/>
    <w:basedOn w:val="1"/>
    <w:qFormat/>
    <w:uiPriority w:val="1"/>
    <w:pPr>
      <w:jc w:val="left"/>
    </w:pPr>
    <w:rPr>
      <w:rFonts w:asciiTheme="minorHAnsi" w:hAnsiTheme="minorHAnsi" w:eastAsiaTheme="minorEastAsia" w:cstheme="minorBidi"/>
      <w:kern w:val="0"/>
      <w:sz w:val="22"/>
      <w:szCs w:val="22"/>
      <w:lang w:eastAsia="en-US"/>
    </w:rPr>
  </w:style>
  <w:style w:type="character" w:customStyle="1" w:styleId="123">
    <w:name w:val="Placeholder Text"/>
    <w:basedOn w:val="33"/>
    <w:unhideWhenUsed/>
    <w:qFormat/>
    <w:uiPriority w:val="99"/>
    <w:rPr>
      <w:color w:val="808080"/>
    </w:rPr>
  </w:style>
  <w:style w:type="character" w:customStyle="1" w:styleId="124">
    <w:name w:val="段 Char"/>
    <w:link w:val="57"/>
    <w:qFormat/>
    <w:uiPriority w:val="0"/>
    <w:rPr>
      <w:rFonts w:ascii="宋体"/>
      <w:sz w:val="21"/>
    </w:rPr>
  </w:style>
  <w:style w:type="paragraph" w:customStyle="1" w:styleId="125">
    <w:name w:val="TOC Heading"/>
    <w:basedOn w:val="2"/>
    <w:next w:val="1"/>
    <w:unhideWhenUsed/>
    <w:qFormat/>
    <w:uiPriority w:val="39"/>
    <w:pPr>
      <w:widowControl/>
      <w:spacing w:before="240" w:beforeLines="0" w:after="0" w:afterLines="0" w:line="259" w:lineRule="auto"/>
      <w:jc w:val="left"/>
      <w:outlineLvl w:val="9"/>
    </w:pPr>
    <w:rPr>
      <w:rFonts w:asciiTheme="majorHAnsi" w:hAnsiTheme="majorHAnsi" w:eastAsiaTheme="majorEastAsia" w:cstheme="majorBidi"/>
      <w:b w:val="0"/>
      <w:bCs w:val="0"/>
      <w:color w:val="376092" w:themeColor="accent1" w:themeShade="BF"/>
      <w:kern w:val="0"/>
      <w:sz w:val="32"/>
      <w:szCs w:val="32"/>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4.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2.xml"/><Relationship Id="rId10" Type="http://schemas.openxmlformats.org/officeDocument/2006/relationships/customXml" Target="../customXml/item1.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20p\Documents\Tds"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DB57D0FE-4E4E-48B1-B2AB-9A891DAA9033}">
  <ds:schemaRefs/>
</ds:datastoreItem>
</file>

<file path=docProps/app.xml><?xml version="1.0" encoding="utf-8"?>
<Properties xmlns="http://schemas.openxmlformats.org/officeDocument/2006/extended-properties" xmlns:vt="http://schemas.openxmlformats.org/officeDocument/2006/docPropsVTypes">
  <Template>Tds</Template>
  <Company>Hewlett-Packard</Company>
  <Pages>9</Pages>
  <Words>794</Words>
  <Characters>4527</Characters>
  <Lines>37</Lines>
  <Paragraphs>10</Paragraphs>
  <ScaleCrop>false</ScaleCrop>
  <LinksUpToDate>false</LinksUpToDate>
  <CharactersWithSpaces>5311</CharactersWithSpaces>
  <Application>WPS Office_10.8.0.5950_F1E327BC-269C-435d-A152-05C5408002CA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2018-11-09T01:22:00Z</dcterms:created>
  <dc:creator>MS User</dc:creator>
  <cp:lastModifiedBy>张美容</cp:lastModifiedBy>
  <cp:lastPrinted>2018-10-22T10:38:00Z</cp:lastPrinted>
  <dcterms:modified xsi:type="dcterms:W3CDTF">2018-11-12T01:45:19Z</dcterms:modified>
  <dc:title>标准名称</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2052-10.8.0.5950</vt:lpwstr>
  </property>
</Properties>
</file>